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97BA5E" w14:textId="77777777" w:rsidR="009F6DA6" w:rsidRPr="00FA334F" w:rsidRDefault="00C33A94">
      <w:pPr>
        <w:pStyle w:val="Title"/>
      </w:pPr>
      <w:r w:rsidRPr="00FA334F">
        <w:t>CARES Construction Loan</w:t>
      </w:r>
    </w:p>
    <w:p w14:paraId="58D59E9C" w14:textId="6008E80A" w:rsidR="009F6DA6" w:rsidRPr="00FA334F" w:rsidRDefault="00C33A94">
      <w:pPr>
        <w:pStyle w:val="Heading1"/>
      </w:pPr>
      <w:r w:rsidRPr="00FA334F">
        <w:t>Pre-Contract Credit Information</w:t>
      </w:r>
    </w:p>
    <w:p w14:paraId="1632A742" w14:textId="77777777" w:rsidR="009F6DA6" w:rsidRPr="00FA334F" w:rsidRDefault="00C33A94">
      <w:pPr>
        <w:pStyle w:val="Heading2"/>
      </w:pPr>
      <w:r w:rsidRPr="00FA334F">
        <w:t>1. Identity and Contact Details</w:t>
      </w:r>
    </w:p>
    <w:tbl>
      <w:tblPr>
        <w:tblW w:w="5536" w:type="pct"/>
        <w:tblCellSpacing w:w="15" w:type="dxa"/>
        <w:tblCellMar>
          <w:top w:w="15" w:type="dxa"/>
          <w:left w:w="15" w:type="dxa"/>
          <w:bottom w:w="15" w:type="dxa"/>
          <w:right w:w="15" w:type="dxa"/>
        </w:tblCellMar>
        <w:tblLook w:val="04A0" w:firstRow="1" w:lastRow="0" w:firstColumn="1" w:lastColumn="0" w:noHBand="0" w:noVBand="1"/>
      </w:tblPr>
      <w:tblGrid>
        <w:gridCol w:w="2292"/>
        <w:gridCol w:w="7256"/>
      </w:tblGrid>
      <w:tr w:rsidR="00596175" w:rsidRPr="00FA334F" w14:paraId="7CC40307" w14:textId="77777777" w:rsidTr="00E571E2">
        <w:trPr>
          <w:tblCellSpacing w:w="15" w:type="dxa"/>
        </w:trPr>
        <w:tc>
          <w:tcPr>
            <w:tcW w:w="1177" w:type="pct"/>
            <w:tcBorders>
              <w:top w:val="single" w:sz="6" w:space="0" w:color="auto"/>
              <w:left w:val="single" w:sz="6" w:space="0" w:color="auto"/>
              <w:bottom w:val="single" w:sz="6" w:space="0" w:color="auto"/>
              <w:right w:val="single" w:sz="6" w:space="0" w:color="auto"/>
            </w:tcBorders>
            <w:vAlign w:val="center"/>
            <w:hideMark/>
          </w:tcPr>
          <w:p w14:paraId="64D65A72" w14:textId="77777777" w:rsidR="00596175" w:rsidRPr="00FA334F" w:rsidRDefault="00596175">
            <w:pPr>
              <w:rPr>
                <w:rFonts w:ascii="Poppins" w:hAnsi="Poppins" w:cs="Poppins"/>
                <w:kern w:val="2"/>
                <w:lang w:eastAsia="en-GB"/>
                <w14:ligatures w14:val="standardContextual"/>
              </w:rPr>
            </w:pPr>
            <w:r w:rsidRPr="00FA334F">
              <w:rPr>
                <w:rFonts w:ascii="Poppins" w:hAnsi="Poppins" w:cs="Poppins"/>
                <w:b/>
                <w:bCs/>
              </w:rPr>
              <w:t>Lender</w:t>
            </w:r>
          </w:p>
        </w:tc>
        <w:tc>
          <w:tcPr>
            <w:tcW w:w="3776" w:type="pct"/>
            <w:tcBorders>
              <w:top w:val="single" w:sz="6" w:space="0" w:color="auto"/>
              <w:left w:val="single" w:sz="6" w:space="0" w:color="auto"/>
              <w:bottom w:val="single" w:sz="6" w:space="0" w:color="auto"/>
              <w:right w:val="single" w:sz="6" w:space="0" w:color="auto"/>
            </w:tcBorders>
            <w:vAlign w:val="center"/>
            <w:hideMark/>
          </w:tcPr>
          <w:p w14:paraId="0F59FB0E" w14:textId="77777777" w:rsidR="00596175" w:rsidRDefault="00596175">
            <w:pPr>
              <w:rPr>
                <w:rFonts w:ascii="Poppins" w:hAnsi="Poppins" w:cs="Poppins"/>
              </w:rPr>
            </w:pPr>
            <w:r w:rsidRPr="00FA334F">
              <w:rPr>
                <w:rFonts w:ascii="Poppins" w:hAnsi="Poppins" w:cs="Poppins"/>
              </w:rPr>
              <w:t>THE ENERGY SAVING TRUST LIMITED registered number 02622374</w:t>
            </w:r>
          </w:p>
          <w:p w14:paraId="0E58B929" w14:textId="709582FB" w:rsidR="002660D1" w:rsidRPr="00FA334F" w:rsidRDefault="00EB64F8">
            <w:pPr>
              <w:rPr>
                <w:rFonts w:ascii="Poppins" w:hAnsi="Poppins" w:cs="Poppins"/>
              </w:rPr>
            </w:pPr>
            <w:r w:rsidRPr="00EB64F8">
              <w:rPr>
                <w:rFonts w:ascii="Poppins" w:hAnsi="Poppins" w:cs="Poppins"/>
              </w:rPr>
              <w:t>The Energy Saving Trust leads the Local Energy Scotland consortium, which delivers the Scottish Government’s Community and Renewable Energy Scheme (CARES). Local Energy Scotland is a delivery brand rather than a separate legal entity, so information about CARES is provided through the Local Energy Scotland website</w:t>
            </w:r>
            <w:r>
              <w:rPr>
                <w:rFonts w:ascii="Poppins" w:hAnsi="Poppins" w:cs="Poppins"/>
              </w:rPr>
              <w:t xml:space="preserve"> (www.localenergy.scot)</w:t>
            </w:r>
            <w:r w:rsidRPr="00EB64F8">
              <w:rPr>
                <w:rFonts w:ascii="Poppins" w:hAnsi="Poppins" w:cs="Poppins"/>
              </w:rPr>
              <w:t xml:space="preserve"> and contact email (</w:t>
            </w:r>
            <w:proofErr w:type="spellStart"/>
            <w:r w:rsidRPr="00EB64F8">
              <w:rPr>
                <w:rFonts w:ascii="Poppins" w:hAnsi="Poppins" w:cs="Poppins"/>
              </w:rPr>
              <w:t>info@localenergy.scot</w:t>
            </w:r>
            <w:proofErr w:type="spellEnd"/>
            <w:r w:rsidRPr="00EB64F8">
              <w:rPr>
                <w:rFonts w:ascii="Poppins" w:hAnsi="Poppins" w:cs="Poppins"/>
              </w:rPr>
              <w:t>). However, all loans are issued by the Energy Saving Trust, which acts as the lender.</w:t>
            </w:r>
          </w:p>
        </w:tc>
      </w:tr>
      <w:tr w:rsidR="00596175" w:rsidRPr="00FA334F" w14:paraId="229D7A7A" w14:textId="77777777" w:rsidTr="00E571E2">
        <w:trPr>
          <w:tblCellSpacing w:w="15" w:type="dxa"/>
        </w:trPr>
        <w:tc>
          <w:tcPr>
            <w:tcW w:w="1177" w:type="pct"/>
            <w:tcBorders>
              <w:top w:val="single" w:sz="6" w:space="0" w:color="auto"/>
              <w:left w:val="single" w:sz="6" w:space="0" w:color="auto"/>
              <w:bottom w:val="single" w:sz="6" w:space="0" w:color="auto"/>
              <w:right w:val="single" w:sz="6" w:space="0" w:color="auto"/>
            </w:tcBorders>
            <w:vAlign w:val="center"/>
            <w:hideMark/>
          </w:tcPr>
          <w:p w14:paraId="06B51909" w14:textId="79CD2240" w:rsidR="00596175" w:rsidRPr="00FA334F" w:rsidRDefault="009C5B4E">
            <w:pPr>
              <w:rPr>
                <w:rFonts w:ascii="Poppins" w:hAnsi="Poppins" w:cs="Poppins"/>
              </w:rPr>
            </w:pPr>
            <w:r>
              <w:rPr>
                <w:rFonts w:ascii="Poppins" w:hAnsi="Poppins" w:cs="Poppins"/>
                <w:b/>
                <w:bCs/>
              </w:rPr>
              <w:t xml:space="preserve">Lender </w:t>
            </w:r>
            <w:r w:rsidR="00596175" w:rsidRPr="00FA334F">
              <w:rPr>
                <w:rFonts w:ascii="Poppins" w:hAnsi="Poppins" w:cs="Poppins"/>
                <w:b/>
                <w:bCs/>
              </w:rPr>
              <w:t>Address</w:t>
            </w:r>
          </w:p>
        </w:tc>
        <w:tc>
          <w:tcPr>
            <w:tcW w:w="3776" w:type="pct"/>
            <w:tcBorders>
              <w:top w:val="single" w:sz="6" w:space="0" w:color="auto"/>
              <w:left w:val="single" w:sz="6" w:space="0" w:color="auto"/>
              <w:bottom w:val="single" w:sz="6" w:space="0" w:color="auto"/>
              <w:right w:val="single" w:sz="6" w:space="0" w:color="auto"/>
            </w:tcBorders>
            <w:vAlign w:val="center"/>
            <w:hideMark/>
          </w:tcPr>
          <w:p w14:paraId="78DD8219" w14:textId="457E97B2" w:rsidR="00E571E2" w:rsidRDefault="00E571E2">
            <w:pPr>
              <w:rPr>
                <w:rFonts w:ascii="Poppins" w:hAnsi="Poppins" w:cs="Poppins"/>
              </w:rPr>
            </w:pPr>
            <w:r w:rsidRPr="00E571E2">
              <w:rPr>
                <w:rFonts w:ascii="Poppins" w:hAnsi="Poppins" w:cs="Poppins"/>
              </w:rPr>
              <w:t>Third Floor, Prospect House, 5 Thistle St, Edinburgh EH2 1DF</w:t>
            </w:r>
          </w:p>
          <w:p w14:paraId="6C8E1A8D" w14:textId="5B8783F0" w:rsidR="00596175" w:rsidRPr="00FA334F" w:rsidRDefault="009D7BDD">
            <w:pPr>
              <w:rPr>
                <w:rFonts w:ascii="Poppins" w:hAnsi="Poppins" w:cs="Poppins"/>
              </w:rPr>
            </w:pPr>
            <w:r w:rsidRPr="00FA334F">
              <w:rPr>
                <w:rFonts w:ascii="Poppins" w:hAnsi="Poppins" w:cs="Poppins"/>
              </w:rPr>
              <w:t>Registered office is at 223-231 Pentonville Road, London, N1 9NG</w:t>
            </w:r>
          </w:p>
        </w:tc>
      </w:tr>
      <w:tr w:rsidR="00596175" w:rsidRPr="00FA334F" w14:paraId="4F8DC4FD" w14:textId="77777777" w:rsidTr="00E571E2">
        <w:trPr>
          <w:tblCellSpacing w:w="15" w:type="dxa"/>
        </w:trPr>
        <w:tc>
          <w:tcPr>
            <w:tcW w:w="1177" w:type="pct"/>
            <w:tcBorders>
              <w:top w:val="single" w:sz="6" w:space="0" w:color="auto"/>
              <w:left w:val="single" w:sz="6" w:space="0" w:color="auto"/>
              <w:bottom w:val="single" w:sz="6" w:space="0" w:color="auto"/>
              <w:right w:val="single" w:sz="6" w:space="0" w:color="auto"/>
            </w:tcBorders>
            <w:vAlign w:val="center"/>
            <w:hideMark/>
          </w:tcPr>
          <w:p w14:paraId="0E70597D" w14:textId="77777777" w:rsidR="00596175" w:rsidRPr="00FA334F" w:rsidRDefault="00596175">
            <w:pPr>
              <w:rPr>
                <w:rFonts w:ascii="Poppins" w:hAnsi="Poppins" w:cs="Poppins"/>
              </w:rPr>
            </w:pPr>
            <w:r w:rsidRPr="00FA334F">
              <w:rPr>
                <w:rFonts w:ascii="Poppins" w:hAnsi="Poppins" w:cs="Poppins"/>
                <w:b/>
                <w:bCs/>
              </w:rPr>
              <w:t>Contact</w:t>
            </w:r>
          </w:p>
        </w:tc>
        <w:tc>
          <w:tcPr>
            <w:tcW w:w="3776" w:type="pct"/>
            <w:tcBorders>
              <w:top w:val="single" w:sz="6" w:space="0" w:color="auto"/>
              <w:left w:val="single" w:sz="6" w:space="0" w:color="auto"/>
              <w:bottom w:val="single" w:sz="6" w:space="0" w:color="auto"/>
              <w:right w:val="single" w:sz="6" w:space="0" w:color="auto"/>
            </w:tcBorders>
            <w:vAlign w:val="center"/>
            <w:hideMark/>
          </w:tcPr>
          <w:p w14:paraId="0725C89C" w14:textId="38C79F4F" w:rsidR="00596175" w:rsidRPr="00FA334F" w:rsidRDefault="00F2678A">
            <w:pPr>
              <w:rPr>
                <w:rFonts w:ascii="Poppins" w:hAnsi="Poppins" w:cs="Poppins"/>
              </w:rPr>
            </w:pPr>
            <w:hyperlink r:id="rId12" w:history="1">
              <w:r w:rsidRPr="00F2678A">
                <w:rPr>
                  <w:rStyle w:val="Hyperlink"/>
                  <w:rFonts w:ascii="Poppins" w:hAnsi="Poppins" w:cs="Poppins"/>
                </w:rPr>
                <w:t>info@localenergy.scot</w:t>
              </w:r>
            </w:hyperlink>
            <w:r w:rsidR="004541F7">
              <w:rPr>
                <w:rFonts w:ascii="Poppins" w:hAnsi="Poppins" w:cs="Poppins"/>
              </w:rPr>
              <w:t xml:space="preserve"> </w:t>
            </w:r>
          </w:p>
        </w:tc>
      </w:tr>
    </w:tbl>
    <w:p w14:paraId="399384E4" w14:textId="77777777" w:rsidR="009F6DA6" w:rsidRPr="00FA334F" w:rsidRDefault="00C33A94">
      <w:pPr>
        <w:pStyle w:val="Heading2"/>
      </w:pPr>
      <w:r w:rsidRPr="00FA334F">
        <w:t>2. Main Features</w:t>
      </w:r>
    </w:p>
    <w:tbl>
      <w:tblPr>
        <w:tblW w:w="5502" w:type="pct"/>
        <w:tblCellSpacing w:w="15" w:type="dxa"/>
        <w:tblInd w:w="60" w:type="dxa"/>
        <w:tblCellMar>
          <w:top w:w="15" w:type="dxa"/>
          <w:left w:w="15" w:type="dxa"/>
          <w:bottom w:w="15" w:type="dxa"/>
          <w:right w:w="15" w:type="dxa"/>
        </w:tblCellMar>
        <w:tblLook w:val="04A0" w:firstRow="1" w:lastRow="0" w:firstColumn="1" w:lastColumn="0" w:noHBand="0" w:noVBand="1"/>
      </w:tblPr>
      <w:tblGrid>
        <w:gridCol w:w="2233"/>
        <w:gridCol w:w="7257"/>
      </w:tblGrid>
      <w:tr w:rsidR="00E12EF1" w:rsidRPr="00FA334F" w14:paraId="09E30880" w14:textId="77777777" w:rsidTr="005F45F0">
        <w:trPr>
          <w:tblCellSpacing w:w="15" w:type="dxa"/>
        </w:trPr>
        <w:tc>
          <w:tcPr>
            <w:tcW w:w="1153" w:type="pct"/>
            <w:tcBorders>
              <w:top w:val="single" w:sz="6" w:space="0" w:color="auto"/>
              <w:left w:val="single" w:sz="6" w:space="0" w:color="auto"/>
              <w:bottom w:val="single" w:sz="6" w:space="0" w:color="auto"/>
              <w:right w:val="single" w:sz="6" w:space="0" w:color="auto"/>
            </w:tcBorders>
            <w:vAlign w:val="center"/>
            <w:hideMark/>
          </w:tcPr>
          <w:p w14:paraId="0C1EC1DF" w14:textId="77777777" w:rsidR="00E12EF1" w:rsidRPr="00FA334F" w:rsidRDefault="00E12EF1">
            <w:pPr>
              <w:rPr>
                <w:rFonts w:ascii="Poppins" w:hAnsi="Poppins" w:cs="Poppins"/>
                <w:kern w:val="2"/>
                <w:lang w:eastAsia="en-GB"/>
                <w14:ligatures w14:val="standardContextual"/>
              </w:rPr>
            </w:pPr>
            <w:r w:rsidRPr="00FA334F">
              <w:rPr>
                <w:rFonts w:ascii="Poppins" w:hAnsi="Poppins" w:cs="Poppins"/>
                <w:b/>
                <w:bCs/>
              </w:rPr>
              <w:t>Type</w:t>
            </w:r>
          </w:p>
        </w:tc>
        <w:tc>
          <w:tcPr>
            <w:tcW w:w="3800" w:type="pct"/>
            <w:tcBorders>
              <w:top w:val="single" w:sz="6" w:space="0" w:color="auto"/>
              <w:left w:val="single" w:sz="6" w:space="0" w:color="auto"/>
              <w:bottom w:val="single" w:sz="6" w:space="0" w:color="auto"/>
              <w:right w:val="single" w:sz="6" w:space="0" w:color="auto"/>
            </w:tcBorders>
            <w:vAlign w:val="center"/>
            <w:hideMark/>
          </w:tcPr>
          <w:p w14:paraId="1300344C" w14:textId="77777777" w:rsidR="00E12EF1" w:rsidRPr="00FA334F" w:rsidRDefault="00E12EF1">
            <w:pPr>
              <w:rPr>
                <w:rFonts w:ascii="Poppins" w:hAnsi="Poppins" w:cs="Poppins"/>
              </w:rPr>
            </w:pPr>
            <w:r w:rsidRPr="00FA334F">
              <w:rPr>
                <w:rFonts w:ascii="Poppins" w:hAnsi="Poppins" w:cs="Poppins"/>
              </w:rPr>
              <w:t>Unsecured loan</w:t>
            </w:r>
          </w:p>
        </w:tc>
      </w:tr>
      <w:tr w:rsidR="00E12EF1" w:rsidRPr="00FA334F" w14:paraId="25436754" w14:textId="77777777" w:rsidTr="005F45F0">
        <w:trPr>
          <w:tblCellSpacing w:w="15" w:type="dxa"/>
        </w:trPr>
        <w:tc>
          <w:tcPr>
            <w:tcW w:w="1153" w:type="pct"/>
            <w:tcBorders>
              <w:top w:val="single" w:sz="6" w:space="0" w:color="auto"/>
              <w:left w:val="single" w:sz="6" w:space="0" w:color="auto"/>
              <w:bottom w:val="single" w:sz="6" w:space="0" w:color="auto"/>
              <w:right w:val="single" w:sz="6" w:space="0" w:color="auto"/>
            </w:tcBorders>
            <w:vAlign w:val="center"/>
            <w:hideMark/>
          </w:tcPr>
          <w:p w14:paraId="65C9D583" w14:textId="1FA00250" w:rsidR="00E12EF1" w:rsidRPr="00FA334F" w:rsidRDefault="00E571E2">
            <w:pPr>
              <w:rPr>
                <w:rFonts w:ascii="Poppins" w:hAnsi="Poppins" w:cs="Poppins"/>
              </w:rPr>
            </w:pPr>
            <w:r>
              <w:rPr>
                <w:rFonts w:ascii="Poppins" w:hAnsi="Poppins" w:cs="Poppins"/>
                <w:b/>
                <w:bCs/>
              </w:rPr>
              <w:t xml:space="preserve">Total </w:t>
            </w:r>
            <w:r w:rsidR="00E12EF1" w:rsidRPr="00FA334F">
              <w:rPr>
                <w:rFonts w:ascii="Poppins" w:hAnsi="Poppins" w:cs="Poppins"/>
                <w:b/>
                <w:bCs/>
              </w:rPr>
              <w:t>Amount</w:t>
            </w:r>
          </w:p>
        </w:tc>
        <w:tc>
          <w:tcPr>
            <w:tcW w:w="3800" w:type="pct"/>
            <w:tcBorders>
              <w:top w:val="single" w:sz="6" w:space="0" w:color="auto"/>
              <w:left w:val="single" w:sz="6" w:space="0" w:color="auto"/>
              <w:bottom w:val="single" w:sz="6" w:space="0" w:color="auto"/>
              <w:right w:val="single" w:sz="6" w:space="0" w:color="auto"/>
            </w:tcBorders>
            <w:vAlign w:val="center"/>
            <w:hideMark/>
          </w:tcPr>
          <w:p w14:paraId="429DF5A6" w14:textId="55A9D78C" w:rsidR="00E571E2" w:rsidRDefault="00E571E2">
            <w:pPr>
              <w:rPr>
                <w:rFonts w:ascii="Poppins" w:hAnsi="Poppins" w:cs="Poppins"/>
              </w:rPr>
            </w:pPr>
            <w:r>
              <w:rPr>
                <w:rFonts w:ascii="Poppins" w:hAnsi="Poppins" w:cs="Poppins"/>
              </w:rPr>
              <w:t>[£]</w:t>
            </w:r>
          </w:p>
          <w:p w14:paraId="0B10F994" w14:textId="443F11E2" w:rsidR="00E12EF1" w:rsidRPr="00FA334F" w:rsidRDefault="00E12EF1">
            <w:pPr>
              <w:rPr>
                <w:rFonts w:ascii="Poppins" w:hAnsi="Poppins" w:cs="Poppins"/>
              </w:rPr>
            </w:pPr>
            <w:r w:rsidRPr="00FA334F">
              <w:rPr>
                <w:rFonts w:ascii="Poppins" w:hAnsi="Poppins" w:cs="Poppins"/>
              </w:rPr>
              <w:t>£25,000 minimum; subject to eligibility, assessment and affordability.</w:t>
            </w:r>
          </w:p>
        </w:tc>
      </w:tr>
      <w:tr w:rsidR="00E12EF1" w:rsidRPr="00FA334F" w14:paraId="18EFC90B" w14:textId="77777777" w:rsidTr="005F45F0">
        <w:trPr>
          <w:tblCellSpacing w:w="15" w:type="dxa"/>
        </w:trPr>
        <w:tc>
          <w:tcPr>
            <w:tcW w:w="1153" w:type="pct"/>
            <w:tcBorders>
              <w:top w:val="single" w:sz="6" w:space="0" w:color="auto"/>
              <w:left w:val="single" w:sz="6" w:space="0" w:color="auto"/>
              <w:bottom w:val="single" w:sz="6" w:space="0" w:color="auto"/>
              <w:right w:val="single" w:sz="6" w:space="0" w:color="auto"/>
            </w:tcBorders>
            <w:vAlign w:val="center"/>
            <w:hideMark/>
          </w:tcPr>
          <w:p w14:paraId="25DFBCB6" w14:textId="77777777" w:rsidR="00E12EF1" w:rsidRPr="00FA334F" w:rsidRDefault="00E12EF1">
            <w:pPr>
              <w:rPr>
                <w:rFonts w:ascii="Poppins" w:hAnsi="Poppins" w:cs="Poppins"/>
              </w:rPr>
            </w:pPr>
            <w:r w:rsidRPr="00FA334F">
              <w:rPr>
                <w:rFonts w:ascii="Poppins" w:hAnsi="Poppins" w:cs="Poppins"/>
                <w:b/>
                <w:bCs/>
              </w:rPr>
              <w:t>Duration</w:t>
            </w:r>
          </w:p>
        </w:tc>
        <w:tc>
          <w:tcPr>
            <w:tcW w:w="3800" w:type="pct"/>
            <w:tcBorders>
              <w:top w:val="single" w:sz="6" w:space="0" w:color="auto"/>
              <w:left w:val="single" w:sz="6" w:space="0" w:color="auto"/>
              <w:bottom w:val="single" w:sz="6" w:space="0" w:color="auto"/>
              <w:right w:val="single" w:sz="6" w:space="0" w:color="auto"/>
            </w:tcBorders>
            <w:vAlign w:val="center"/>
            <w:hideMark/>
          </w:tcPr>
          <w:p w14:paraId="135758A1" w14:textId="77777777" w:rsidR="00E12EF1" w:rsidRPr="00FA334F" w:rsidRDefault="00E12EF1">
            <w:pPr>
              <w:rPr>
                <w:rFonts w:ascii="Poppins" w:hAnsi="Poppins" w:cs="Poppins"/>
              </w:rPr>
            </w:pPr>
            <w:r w:rsidRPr="00FA334F">
              <w:rPr>
                <w:rFonts w:ascii="Poppins" w:hAnsi="Poppins" w:cs="Poppins"/>
              </w:rPr>
              <w:t>Up to 5 years</w:t>
            </w:r>
          </w:p>
        </w:tc>
      </w:tr>
      <w:tr w:rsidR="00E12EF1" w:rsidRPr="00FA334F" w14:paraId="5A29F784" w14:textId="77777777" w:rsidTr="005F45F0">
        <w:trPr>
          <w:tblCellSpacing w:w="15" w:type="dxa"/>
        </w:trPr>
        <w:tc>
          <w:tcPr>
            <w:tcW w:w="1153" w:type="pct"/>
            <w:tcBorders>
              <w:top w:val="single" w:sz="6" w:space="0" w:color="auto"/>
              <w:left w:val="single" w:sz="6" w:space="0" w:color="auto"/>
              <w:bottom w:val="single" w:sz="6" w:space="0" w:color="auto"/>
              <w:right w:val="single" w:sz="6" w:space="0" w:color="auto"/>
            </w:tcBorders>
            <w:vAlign w:val="center"/>
            <w:hideMark/>
          </w:tcPr>
          <w:p w14:paraId="42007972" w14:textId="77777777" w:rsidR="00E12EF1" w:rsidRPr="00FA334F" w:rsidRDefault="00E12EF1">
            <w:pPr>
              <w:rPr>
                <w:rFonts w:ascii="Poppins" w:hAnsi="Poppins" w:cs="Poppins"/>
              </w:rPr>
            </w:pPr>
            <w:r w:rsidRPr="00FA334F">
              <w:rPr>
                <w:rFonts w:ascii="Poppins" w:hAnsi="Poppins" w:cs="Poppins"/>
                <w:b/>
                <w:bCs/>
              </w:rPr>
              <w:lastRenderedPageBreak/>
              <w:t>Purpose</w:t>
            </w:r>
          </w:p>
        </w:tc>
        <w:tc>
          <w:tcPr>
            <w:tcW w:w="3800" w:type="pct"/>
            <w:tcBorders>
              <w:top w:val="single" w:sz="6" w:space="0" w:color="auto"/>
              <w:left w:val="single" w:sz="6" w:space="0" w:color="auto"/>
              <w:bottom w:val="single" w:sz="6" w:space="0" w:color="auto"/>
              <w:right w:val="single" w:sz="6" w:space="0" w:color="auto"/>
            </w:tcBorders>
            <w:vAlign w:val="center"/>
            <w:hideMark/>
          </w:tcPr>
          <w:p w14:paraId="273FEB13" w14:textId="32CEBC57" w:rsidR="00E12EF1" w:rsidRPr="00FA334F" w:rsidRDefault="00E12EF1">
            <w:pPr>
              <w:rPr>
                <w:rFonts w:ascii="Poppins" w:hAnsi="Poppins" w:cs="Poppins"/>
              </w:rPr>
            </w:pPr>
            <w:r w:rsidRPr="00FA334F">
              <w:rPr>
                <w:rFonts w:ascii="Poppins" w:hAnsi="Poppins" w:cs="Poppins"/>
              </w:rPr>
              <w:t>Renewable energy project costs aligned with the objectives of the CARES programme.</w:t>
            </w:r>
            <w:r w:rsidR="005F0087">
              <w:rPr>
                <w:rFonts w:ascii="Poppins" w:hAnsi="Poppins" w:cs="Poppins"/>
              </w:rPr>
              <w:t xml:space="preserve">  Details about CARES</w:t>
            </w:r>
            <w:r w:rsidR="00B32355">
              <w:rPr>
                <w:rFonts w:ascii="Poppins" w:hAnsi="Poppins" w:cs="Poppins"/>
              </w:rPr>
              <w:t xml:space="preserve"> and the funds objectives</w:t>
            </w:r>
            <w:r w:rsidR="005F0087">
              <w:rPr>
                <w:rFonts w:ascii="Poppins" w:hAnsi="Poppins" w:cs="Poppins"/>
              </w:rPr>
              <w:t xml:space="preserve"> are available</w:t>
            </w:r>
            <w:r w:rsidR="00B32355">
              <w:rPr>
                <w:rFonts w:ascii="Poppins" w:hAnsi="Poppins" w:cs="Poppins"/>
              </w:rPr>
              <w:t xml:space="preserve"> </w:t>
            </w:r>
            <w:hyperlink r:id="rId13" w:history="1">
              <w:r w:rsidR="00B32355" w:rsidRPr="00B32355">
                <w:rPr>
                  <w:rStyle w:val="Hyperlink"/>
                  <w:rFonts w:ascii="Poppins" w:hAnsi="Poppins" w:cs="Poppins"/>
                </w:rPr>
                <w:t>here</w:t>
              </w:r>
            </w:hyperlink>
            <w:r w:rsidR="00B32355">
              <w:rPr>
                <w:rFonts w:ascii="Poppins" w:hAnsi="Poppins" w:cs="Poppins"/>
              </w:rPr>
              <w:t>.</w:t>
            </w:r>
          </w:p>
        </w:tc>
      </w:tr>
    </w:tbl>
    <w:p w14:paraId="0CA9C5DC" w14:textId="77777777" w:rsidR="009F6DA6" w:rsidRPr="00FA334F" w:rsidRDefault="00C33A94">
      <w:pPr>
        <w:pStyle w:val="Heading2"/>
      </w:pPr>
      <w:r w:rsidRPr="00FA334F">
        <w:t>3. Cost of Credit</w:t>
      </w:r>
    </w:p>
    <w:tbl>
      <w:tblPr>
        <w:tblW w:w="5536" w:type="pct"/>
        <w:tblCellSpacing w:w="15" w:type="dxa"/>
        <w:tblCellMar>
          <w:top w:w="15" w:type="dxa"/>
          <w:left w:w="15" w:type="dxa"/>
          <w:bottom w:w="15" w:type="dxa"/>
          <w:right w:w="15" w:type="dxa"/>
        </w:tblCellMar>
        <w:tblLook w:val="04A0" w:firstRow="1" w:lastRow="0" w:firstColumn="1" w:lastColumn="0" w:noHBand="0" w:noVBand="1"/>
      </w:tblPr>
      <w:tblGrid>
        <w:gridCol w:w="2290"/>
        <w:gridCol w:w="7258"/>
      </w:tblGrid>
      <w:tr w:rsidR="00596175" w:rsidRPr="00FA334F" w14:paraId="2377E940" w14:textId="77777777" w:rsidTr="00781869">
        <w:trPr>
          <w:tblCellSpacing w:w="15" w:type="dxa"/>
        </w:trPr>
        <w:tc>
          <w:tcPr>
            <w:tcW w:w="1176" w:type="pct"/>
            <w:tcBorders>
              <w:top w:val="single" w:sz="6" w:space="0" w:color="auto"/>
              <w:left w:val="single" w:sz="6" w:space="0" w:color="auto"/>
              <w:bottom w:val="single" w:sz="6" w:space="0" w:color="auto"/>
              <w:right w:val="single" w:sz="6" w:space="0" w:color="auto"/>
            </w:tcBorders>
            <w:vAlign w:val="center"/>
            <w:hideMark/>
          </w:tcPr>
          <w:p w14:paraId="0FA1C900" w14:textId="77777777" w:rsidR="00596175" w:rsidRPr="00FA334F" w:rsidRDefault="00596175">
            <w:pPr>
              <w:rPr>
                <w:rFonts w:ascii="Poppins" w:hAnsi="Poppins" w:cs="Poppins"/>
                <w:kern w:val="2"/>
                <w:lang w:eastAsia="en-GB"/>
                <w14:ligatures w14:val="standardContextual"/>
              </w:rPr>
            </w:pPr>
            <w:r w:rsidRPr="00FA334F">
              <w:rPr>
                <w:rFonts w:ascii="Poppins" w:hAnsi="Poppins" w:cs="Poppins"/>
                <w:b/>
                <w:bCs/>
              </w:rPr>
              <w:t>Interest</w:t>
            </w:r>
          </w:p>
        </w:tc>
        <w:tc>
          <w:tcPr>
            <w:tcW w:w="3777" w:type="pct"/>
            <w:tcBorders>
              <w:top w:val="single" w:sz="6" w:space="0" w:color="auto"/>
              <w:left w:val="single" w:sz="6" w:space="0" w:color="auto"/>
              <w:bottom w:val="single" w:sz="6" w:space="0" w:color="auto"/>
              <w:right w:val="single" w:sz="6" w:space="0" w:color="auto"/>
            </w:tcBorders>
            <w:vAlign w:val="center"/>
            <w:hideMark/>
          </w:tcPr>
          <w:p w14:paraId="4CA8BF98" w14:textId="77777777" w:rsidR="00596175" w:rsidRPr="00FA334F" w:rsidRDefault="00596175">
            <w:pPr>
              <w:rPr>
                <w:rFonts w:ascii="Poppins" w:hAnsi="Poppins" w:cs="Poppins"/>
              </w:rPr>
            </w:pPr>
            <w:r w:rsidRPr="00FA334F">
              <w:rPr>
                <w:rFonts w:ascii="Poppins" w:hAnsi="Poppins" w:cs="Poppins"/>
              </w:rPr>
              <w:t>0% (0–18 months)</w:t>
            </w:r>
          </w:p>
          <w:p w14:paraId="00CB05B6" w14:textId="77777777" w:rsidR="00596175" w:rsidRPr="00FA334F" w:rsidRDefault="00596175">
            <w:pPr>
              <w:rPr>
                <w:rFonts w:ascii="Poppins" w:hAnsi="Poppins" w:cs="Poppins"/>
              </w:rPr>
            </w:pPr>
            <w:r w:rsidRPr="00FA334F">
              <w:rPr>
                <w:rFonts w:ascii="Poppins" w:hAnsi="Poppins" w:cs="Poppins"/>
              </w:rPr>
              <w:t>5% (19–30 months)</w:t>
            </w:r>
          </w:p>
          <w:p w14:paraId="07A6C248" w14:textId="77777777" w:rsidR="00596175" w:rsidRPr="00FA334F" w:rsidRDefault="00596175">
            <w:pPr>
              <w:rPr>
                <w:rFonts w:ascii="Poppins" w:hAnsi="Poppins" w:cs="Poppins"/>
              </w:rPr>
            </w:pPr>
            <w:r w:rsidRPr="00FA334F">
              <w:rPr>
                <w:rFonts w:ascii="Poppins" w:hAnsi="Poppins" w:cs="Poppins"/>
              </w:rPr>
              <w:t>10% (31+ months)</w:t>
            </w:r>
          </w:p>
        </w:tc>
      </w:tr>
      <w:tr w:rsidR="00596175" w:rsidRPr="00FA334F" w14:paraId="197DF917" w14:textId="77777777" w:rsidTr="00781869">
        <w:trPr>
          <w:tblCellSpacing w:w="15" w:type="dxa"/>
        </w:trPr>
        <w:tc>
          <w:tcPr>
            <w:tcW w:w="1176" w:type="pct"/>
            <w:tcBorders>
              <w:top w:val="single" w:sz="6" w:space="0" w:color="auto"/>
              <w:left w:val="single" w:sz="6" w:space="0" w:color="auto"/>
              <w:bottom w:val="single" w:sz="6" w:space="0" w:color="auto"/>
              <w:right w:val="single" w:sz="6" w:space="0" w:color="auto"/>
            </w:tcBorders>
            <w:vAlign w:val="center"/>
            <w:hideMark/>
          </w:tcPr>
          <w:p w14:paraId="4A3BF7DB" w14:textId="77777777" w:rsidR="00596175" w:rsidRPr="00FA334F" w:rsidRDefault="00596175">
            <w:pPr>
              <w:rPr>
                <w:rFonts w:ascii="Poppins" w:hAnsi="Poppins" w:cs="Poppins"/>
              </w:rPr>
            </w:pPr>
            <w:r w:rsidRPr="00FA334F">
              <w:rPr>
                <w:rFonts w:ascii="Poppins" w:hAnsi="Poppins" w:cs="Poppins"/>
                <w:b/>
                <w:bCs/>
              </w:rPr>
              <w:t>Fees</w:t>
            </w:r>
          </w:p>
        </w:tc>
        <w:tc>
          <w:tcPr>
            <w:tcW w:w="3777" w:type="pct"/>
            <w:tcBorders>
              <w:top w:val="single" w:sz="6" w:space="0" w:color="auto"/>
              <w:left w:val="single" w:sz="6" w:space="0" w:color="auto"/>
              <w:bottom w:val="single" w:sz="6" w:space="0" w:color="auto"/>
              <w:right w:val="single" w:sz="6" w:space="0" w:color="auto"/>
            </w:tcBorders>
            <w:vAlign w:val="center"/>
            <w:hideMark/>
          </w:tcPr>
          <w:p w14:paraId="79A06635" w14:textId="77777777" w:rsidR="00596175" w:rsidRPr="00FA334F" w:rsidRDefault="00596175">
            <w:pPr>
              <w:rPr>
                <w:rFonts w:ascii="Poppins" w:hAnsi="Poppins" w:cs="Poppins"/>
              </w:rPr>
            </w:pPr>
            <w:r w:rsidRPr="00FA334F">
              <w:rPr>
                <w:rFonts w:ascii="Poppins" w:hAnsi="Poppins" w:cs="Poppins"/>
              </w:rPr>
              <w:t>None</w:t>
            </w:r>
          </w:p>
        </w:tc>
      </w:tr>
    </w:tbl>
    <w:p w14:paraId="55E63F96" w14:textId="77777777" w:rsidR="00DE58AF" w:rsidRPr="00FA334F" w:rsidRDefault="00DE58AF">
      <w:pPr>
        <w:pStyle w:val="Heading2"/>
        <w:rPr>
          <w:kern w:val="2"/>
          <w:lang w:eastAsia="en-GB"/>
          <w14:ligatures w14:val="standardContextual"/>
        </w:rPr>
      </w:pPr>
      <w:r w:rsidRPr="00FA334F">
        <w:t>4. Costs and Fees</w:t>
      </w:r>
    </w:p>
    <w:tbl>
      <w:tblPr>
        <w:tblW w:w="5532" w:type="pct"/>
        <w:tblCellSpacing w:w="15" w:type="dxa"/>
        <w:tblCellMar>
          <w:top w:w="15" w:type="dxa"/>
          <w:left w:w="15" w:type="dxa"/>
          <w:bottom w:w="15" w:type="dxa"/>
          <w:right w:w="15" w:type="dxa"/>
        </w:tblCellMar>
        <w:tblLook w:val="04A0" w:firstRow="1" w:lastRow="0" w:firstColumn="1" w:lastColumn="0" w:noHBand="0" w:noVBand="1"/>
      </w:tblPr>
      <w:tblGrid>
        <w:gridCol w:w="2293"/>
        <w:gridCol w:w="7244"/>
      </w:tblGrid>
      <w:tr w:rsidR="00DE58AF" w:rsidRPr="00FA334F" w14:paraId="245799CF" w14:textId="77777777" w:rsidTr="00C41F99">
        <w:trPr>
          <w:tblCellSpacing w:w="15" w:type="dxa"/>
        </w:trPr>
        <w:tc>
          <w:tcPr>
            <w:tcW w:w="1179" w:type="pct"/>
            <w:tcBorders>
              <w:top w:val="single" w:sz="8" w:space="0" w:color="auto"/>
              <w:left w:val="single" w:sz="8" w:space="0" w:color="auto"/>
              <w:bottom w:val="single" w:sz="8" w:space="0" w:color="auto"/>
              <w:right w:val="single" w:sz="8" w:space="0" w:color="auto"/>
            </w:tcBorders>
            <w:vAlign w:val="center"/>
            <w:hideMark/>
          </w:tcPr>
          <w:p w14:paraId="5387508B" w14:textId="77777777" w:rsidR="00DE58AF" w:rsidRPr="00FA334F" w:rsidRDefault="00DE58AF">
            <w:pPr>
              <w:rPr>
                <w:kern w:val="2"/>
                <w:lang w:eastAsia="en-GB"/>
                <w14:ligatures w14:val="standardContextual"/>
              </w:rPr>
            </w:pPr>
            <w:r w:rsidRPr="00FA334F">
              <w:rPr>
                <w:rFonts w:ascii="Poppins" w:hAnsi="Poppins" w:cs="Poppins"/>
                <w:b/>
                <w:bCs/>
              </w:rPr>
              <w:t>Upfront fees</w:t>
            </w:r>
          </w:p>
        </w:tc>
        <w:tc>
          <w:tcPr>
            <w:tcW w:w="3775" w:type="pct"/>
            <w:tcBorders>
              <w:top w:val="single" w:sz="8" w:space="0" w:color="auto"/>
              <w:left w:val="single" w:sz="8" w:space="0" w:color="auto"/>
              <w:bottom w:val="single" w:sz="8" w:space="0" w:color="auto"/>
              <w:right w:val="single" w:sz="8" w:space="0" w:color="auto"/>
            </w:tcBorders>
            <w:vAlign w:val="center"/>
            <w:hideMark/>
          </w:tcPr>
          <w:p w14:paraId="0929D185" w14:textId="434A9BDC" w:rsidR="00DE58AF" w:rsidRPr="00FA334F" w:rsidRDefault="00C71E02">
            <w:r>
              <w:rPr>
                <w:rFonts w:ascii="Poppins" w:hAnsi="Poppins" w:cs="Poppins"/>
              </w:rPr>
              <w:t>None</w:t>
            </w:r>
          </w:p>
        </w:tc>
      </w:tr>
      <w:tr w:rsidR="00DE58AF" w:rsidRPr="00FA334F" w14:paraId="0D94AB60" w14:textId="77777777" w:rsidTr="00C41F99">
        <w:trPr>
          <w:tblCellSpacing w:w="15" w:type="dxa"/>
        </w:trPr>
        <w:tc>
          <w:tcPr>
            <w:tcW w:w="1179" w:type="pct"/>
            <w:tcBorders>
              <w:top w:val="single" w:sz="8" w:space="0" w:color="auto"/>
              <w:left w:val="single" w:sz="8" w:space="0" w:color="auto"/>
              <w:bottom w:val="single" w:sz="8" w:space="0" w:color="auto"/>
              <w:right w:val="single" w:sz="8" w:space="0" w:color="auto"/>
            </w:tcBorders>
            <w:vAlign w:val="center"/>
            <w:hideMark/>
          </w:tcPr>
          <w:p w14:paraId="4FB46068" w14:textId="77777777" w:rsidR="00DE58AF" w:rsidRPr="00FA334F" w:rsidRDefault="00DE58AF">
            <w:r w:rsidRPr="00FA334F">
              <w:rPr>
                <w:rFonts w:ascii="Poppins" w:hAnsi="Poppins" w:cs="Poppins"/>
                <w:b/>
                <w:bCs/>
              </w:rPr>
              <w:t>Statements of account</w:t>
            </w:r>
          </w:p>
        </w:tc>
        <w:tc>
          <w:tcPr>
            <w:tcW w:w="3775" w:type="pct"/>
            <w:tcBorders>
              <w:top w:val="single" w:sz="8" w:space="0" w:color="auto"/>
              <w:left w:val="single" w:sz="8" w:space="0" w:color="auto"/>
              <w:bottom w:val="single" w:sz="8" w:space="0" w:color="auto"/>
              <w:right w:val="single" w:sz="8" w:space="0" w:color="auto"/>
            </w:tcBorders>
            <w:vAlign w:val="center"/>
            <w:hideMark/>
          </w:tcPr>
          <w:p w14:paraId="55E35730" w14:textId="3BC61399" w:rsidR="00DE58AF" w:rsidRPr="00FA334F" w:rsidRDefault="00DE58AF">
            <w:r w:rsidRPr="00FA334F">
              <w:rPr>
                <w:rFonts w:ascii="Poppins" w:hAnsi="Poppins" w:cs="Poppins"/>
              </w:rPr>
              <w:t>Statements of account may be requested</w:t>
            </w:r>
            <w:r w:rsidR="00C71E02">
              <w:rPr>
                <w:rFonts w:ascii="Poppins" w:hAnsi="Poppins" w:cs="Poppins"/>
              </w:rPr>
              <w:t>, by using the contact details above,</w:t>
            </w:r>
            <w:r w:rsidRPr="00FA334F">
              <w:rPr>
                <w:rFonts w:ascii="Poppins" w:hAnsi="Poppins" w:cs="Poppins"/>
              </w:rPr>
              <w:t xml:space="preserve"> up to twice per year at no cost. If the Borrower requests statements more than twice in a year, Energy Saving Trust may charge a reasonable fee to cover its costs.</w:t>
            </w:r>
          </w:p>
        </w:tc>
      </w:tr>
      <w:tr w:rsidR="00DE58AF" w:rsidRPr="00FA334F" w14:paraId="7CC640C6" w14:textId="77777777" w:rsidTr="00C41F99">
        <w:trPr>
          <w:tblCellSpacing w:w="15" w:type="dxa"/>
        </w:trPr>
        <w:tc>
          <w:tcPr>
            <w:tcW w:w="1179" w:type="pct"/>
            <w:tcBorders>
              <w:top w:val="single" w:sz="8" w:space="0" w:color="auto"/>
              <w:left w:val="single" w:sz="8" w:space="0" w:color="auto"/>
              <w:bottom w:val="single" w:sz="8" w:space="0" w:color="auto"/>
              <w:right w:val="single" w:sz="8" w:space="0" w:color="auto"/>
            </w:tcBorders>
            <w:vAlign w:val="center"/>
            <w:hideMark/>
          </w:tcPr>
          <w:p w14:paraId="1B7F3AAC" w14:textId="77777777" w:rsidR="00DE58AF" w:rsidRPr="00FA334F" w:rsidRDefault="00DE58AF">
            <w:r w:rsidRPr="00FA334F">
              <w:rPr>
                <w:rFonts w:ascii="Poppins" w:hAnsi="Poppins" w:cs="Poppins"/>
                <w:b/>
                <w:bCs/>
              </w:rPr>
              <w:t>Early repayment</w:t>
            </w:r>
          </w:p>
        </w:tc>
        <w:tc>
          <w:tcPr>
            <w:tcW w:w="3775" w:type="pct"/>
            <w:tcBorders>
              <w:top w:val="single" w:sz="8" w:space="0" w:color="auto"/>
              <w:left w:val="single" w:sz="8" w:space="0" w:color="auto"/>
              <w:bottom w:val="single" w:sz="8" w:space="0" w:color="auto"/>
              <w:right w:val="single" w:sz="8" w:space="0" w:color="auto"/>
            </w:tcBorders>
            <w:vAlign w:val="center"/>
            <w:hideMark/>
          </w:tcPr>
          <w:p w14:paraId="7AFAA62F" w14:textId="3E88678B" w:rsidR="009C69D7" w:rsidRPr="00FA334F" w:rsidRDefault="009C69D7">
            <w:r w:rsidRPr="009C69D7">
              <w:rPr>
                <w:rFonts w:ascii="Poppins" w:hAnsi="Poppins" w:cs="Poppins"/>
              </w:rPr>
              <w:t>You may repay all or part of the loan early by giving 5 days’ notice. No early repayment fee or penalty applies. To help us manage administration efficiently, any partial early repayment must be at least £</w:t>
            </w:r>
            <w:r w:rsidR="00F56393">
              <w:rPr>
                <w:rFonts w:ascii="Poppins" w:hAnsi="Poppins" w:cs="Poppins"/>
              </w:rPr>
              <w:t>5,000</w:t>
            </w:r>
            <w:r w:rsidRPr="009C69D7">
              <w:rPr>
                <w:rFonts w:ascii="Poppins" w:hAnsi="Poppins" w:cs="Poppins"/>
              </w:rPr>
              <w:t>, unless the outstanding balance is lower, in which case you may repay the remaining balance in full. We may decline or defer processing a partial early repayment below this minimum and ask you to combine it with a future repayment.</w:t>
            </w:r>
            <w:r w:rsidR="00934C15">
              <w:rPr>
                <w:rFonts w:ascii="Poppins" w:hAnsi="Poppins" w:cs="Poppins"/>
              </w:rPr>
              <w:t xml:space="preserve"> Early repayment does not remove ongoing obligations under the agreement, including community benefit obligations.</w:t>
            </w:r>
          </w:p>
        </w:tc>
      </w:tr>
      <w:tr w:rsidR="00DE58AF" w:rsidRPr="00FA334F" w14:paraId="376212E5" w14:textId="77777777" w:rsidTr="00C41F99">
        <w:trPr>
          <w:tblCellSpacing w:w="15" w:type="dxa"/>
        </w:trPr>
        <w:tc>
          <w:tcPr>
            <w:tcW w:w="1179" w:type="pct"/>
            <w:tcBorders>
              <w:top w:val="single" w:sz="8" w:space="0" w:color="auto"/>
              <w:left w:val="single" w:sz="8" w:space="0" w:color="auto"/>
              <w:bottom w:val="single" w:sz="8" w:space="0" w:color="auto"/>
              <w:right w:val="single" w:sz="8" w:space="0" w:color="auto"/>
            </w:tcBorders>
            <w:vAlign w:val="center"/>
            <w:hideMark/>
          </w:tcPr>
          <w:p w14:paraId="5CAFD4C1" w14:textId="77777777" w:rsidR="00DE58AF" w:rsidRPr="00FA334F" w:rsidRDefault="00DE58AF">
            <w:r w:rsidRPr="00FA334F">
              <w:rPr>
                <w:rFonts w:ascii="Poppins" w:hAnsi="Poppins" w:cs="Poppins"/>
                <w:b/>
                <w:bCs/>
              </w:rPr>
              <w:lastRenderedPageBreak/>
              <w:t>Default consequences</w:t>
            </w:r>
          </w:p>
        </w:tc>
        <w:tc>
          <w:tcPr>
            <w:tcW w:w="3775" w:type="pct"/>
            <w:tcBorders>
              <w:top w:val="single" w:sz="8" w:space="0" w:color="auto"/>
              <w:left w:val="single" w:sz="8" w:space="0" w:color="auto"/>
              <w:bottom w:val="single" w:sz="8" w:space="0" w:color="auto"/>
              <w:right w:val="single" w:sz="8" w:space="0" w:color="auto"/>
            </w:tcBorders>
            <w:vAlign w:val="center"/>
            <w:hideMark/>
          </w:tcPr>
          <w:p w14:paraId="6081CE72" w14:textId="1AD6541D" w:rsidR="00DE58AF" w:rsidRPr="00FA334F" w:rsidRDefault="00DE58AF">
            <w:r w:rsidRPr="00FA334F">
              <w:rPr>
                <w:rFonts w:ascii="Poppins" w:hAnsi="Poppins" w:cs="Poppins"/>
              </w:rPr>
              <w:t xml:space="preserve">If an Event of Default occurs and continues, </w:t>
            </w:r>
            <w:r w:rsidR="00E93983">
              <w:rPr>
                <w:rFonts w:ascii="Poppins" w:hAnsi="Poppins" w:cs="Poppins"/>
              </w:rPr>
              <w:t>we</w:t>
            </w:r>
            <w:r w:rsidRPr="00FA334F">
              <w:rPr>
                <w:rFonts w:ascii="Poppins" w:hAnsi="Poppins" w:cs="Poppins"/>
              </w:rPr>
              <w:t xml:space="preserve"> may demand immediate repayment of all sums owed, place all sums owed on demand, or reduce, suspend or withhold payment of the loan.</w:t>
            </w:r>
          </w:p>
          <w:p w14:paraId="6ED9DF8D" w14:textId="2B658D9D" w:rsidR="00DE58AF" w:rsidRPr="005F45F0" w:rsidRDefault="00DE58AF">
            <w:pPr>
              <w:rPr>
                <w:rFonts w:ascii="Poppins" w:hAnsi="Poppins" w:cs="Poppins"/>
              </w:rPr>
            </w:pPr>
            <w:r w:rsidRPr="00FA334F">
              <w:rPr>
                <w:rFonts w:ascii="Poppins" w:hAnsi="Poppins" w:cs="Poppins"/>
              </w:rPr>
              <w:t>Events of Default include failure to pay amounts due within 10 Business Days of the due date, use of the loan for an unauthorised purpose, breach of obligations not remedied within 30 days where capable of remedy, insolvency or administration events, materially inaccurate or incomplete information, breach of scheme conditions, and Change of Control</w:t>
            </w:r>
            <w:r w:rsidR="00101B07">
              <w:rPr>
                <w:rFonts w:ascii="Poppins" w:hAnsi="Poppins" w:cs="Poppins"/>
              </w:rPr>
              <w:t xml:space="preserve"> </w:t>
            </w:r>
            <w:r w:rsidR="002E29F9" w:rsidRPr="002E29F9">
              <w:rPr>
                <w:rFonts w:ascii="Poppins" w:hAnsi="Poppins" w:cs="Poppins"/>
              </w:rPr>
              <w:t>(i.e. when ownership or control of your organisation changes)</w:t>
            </w:r>
          </w:p>
        </w:tc>
      </w:tr>
      <w:tr w:rsidR="00DE58AF" w:rsidRPr="00FA334F" w14:paraId="23E9342D" w14:textId="77777777" w:rsidTr="00C41F99">
        <w:trPr>
          <w:tblCellSpacing w:w="15" w:type="dxa"/>
        </w:trPr>
        <w:tc>
          <w:tcPr>
            <w:tcW w:w="1179" w:type="pct"/>
            <w:tcBorders>
              <w:top w:val="single" w:sz="8" w:space="0" w:color="auto"/>
              <w:left w:val="single" w:sz="8" w:space="0" w:color="auto"/>
              <w:bottom w:val="single" w:sz="8" w:space="0" w:color="auto"/>
              <w:right w:val="single" w:sz="8" w:space="0" w:color="auto"/>
            </w:tcBorders>
            <w:vAlign w:val="center"/>
            <w:hideMark/>
          </w:tcPr>
          <w:p w14:paraId="487B999B" w14:textId="77777777" w:rsidR="00DE58AF" w:rsidRPr="00FA334F" w:rsidRDefault="00DE58AF">
            <w:r w:rsidRPr="00FA334F">
              <w:rPr>
                <w:rFonts w:ascii="Poppins" w:hAnsi="Poppins" w:cs="Poppins"/>
                <w:b/>
                <w:bCs/>
              </w:rPr>
              <w:t>Recovery of costs</w:t>
            </w:r>
          </w:p>
        </w:tc>
        <w:tc>
          <w:tcPr>
            <w:tcW w:w="3775" w:type="pct"/>
            <w:tcBorders>
              <w:top w:val="single" w:sz="8" w:space="0" w:color="auto"/>
              <w:left w:val="single" w:sz="8" w:space="0" w:color="auto"/>
              <w:bottom w:val="single" w:sz="8" w:space="0" w:color="auto"/>
              <w:right w:val="single" w:sz="8" w:space="0" w:color="auto"/>
            </w:tcBorders>
            <w:vAlign w:val="center"/>
            <w:hideMark/>
          </w:tcPr>
          <w:p w14:paraId="48C0B4E9" w14:textId="1C5499BB" w:rsidR="00DE58AF" w:rsidRPr="00FA334F" w:rsidRDefault="00C71E02">
            <w:r>
              <w:rPr>
                <w:rFonts w:ascii="Poppins" w:hAnsi="Poppins" w:cs="Poppins"/>
              </w:rPr>
              <w:t>You</w:t>
            </w:r>
            <w:r w:rsidR="00DE58AF" w:rsidRPr="00FA334F">
              <w:rPr>
                <w:rFonts w:ascii="Poppins" w:hAnsi="Poppins" w:cs="Poppins"/>
              </w:rPr>
              <w:t xml:space="preserve"> must pay, on demand, all reasonable costs and expenses incurred by </w:t>
            </w:r>
            <w:r>
              <w:rPr>
                <w:rFonts w:ascii="Poppins" w:hAnsi="Poppins" w:cs="Poppins"/>
              </w:rPr>
              <w:t>us</w:t>
            </w:r>
            <w:r w:rsidR="00DE58AF" w:rsidRPr="00FA334F">
              <w:rPr>
                <w:rFonts w:ascii="Poppins" w:hAnsi="Poppins" w:cs="Poppins"/>
              </w:rPr>
              <w:t xml:space="preserve"> in connection with amending or varying the agreement, enforcing rights under the agreement, or preserving rights under the agreement. These costs and expenses are added to the amount owed under the agreement.</w:t>
            </w:r>
          </w:p>
        </w:tc>
      </w:tr>
      <w:tr w:rsidR="00DE58AF" w:rsidRPr="00FA334F" w14:paraId="6210C5A7" w14:textId="77777777" w:rsidTr="00C41F99">
        <w:trPr>
          <w:tblCellSpacing w:w="15" w:type="dxa"/>
        </w:trPr>
        <w:tc>
          <w:tcPr>
            <w:tcW w:w="1179" w:type="pct"/>
            <w:tcBorders>
              <w:top w:val="single" w:sz="8" w:space="0" w:color="auto"/>
              <w:left w:val="single" w:sz="8" w:space="0" w:color="auto"/>
              <w:bottom w:val="single" w:sz="8" w:space="0" w:color="auto"/>
              <w:right w:val="single" w:sz="8" w:space="0" w:color="auto"/>
            </w:tcBorders>
            <w:vAlign w:val="center"/>
            <w:hideMark/>
          </w:tcPr>
          <w:p w14:paraId="44835A8B" w14:textId="77777777" w:rsidR="00DE58AF" w:rsidRPr="00FA334F" w:rsidRDefault="00DE58AF">
            <w:r w:rsidRPr="00FA334F">
              <w:rPr>
                <w:rFonts w:ascii="Poppins" w:hAnsi="Poppins" w:cs="Poppins"/>
                <w:b/>
                <w:bCs/>
              </w:rPr>
              <w:t>Interest on recovery costs</w:t>
            </w:r>
          </w:p>
        </w:tc>
        <w:tc>
          <w:tcPr>
            <w:tcW w:w="3775" w:type="pct"/>
            <w:tcBorders>
              <w:top w:val="single" w:sz="8" w:space="0" w:color="auto"/>
              <w:left w:val="single" w:sz="8" w:space="0" w:color="auto"/>
              <w:bottom w:val="single" w:sz="8" w:space="0" w:color="auto"/>
              <w:right w:val="single" w:sz="8" w:space="0" w:color="auto"/>
            </w:tcBorders>
            <w:vAlign w:val="center"/>
            <w:hideMark/>
          </w:tcPr>
          <w:p w14:paraId="7E35692C" w14:textId="1F6942BD" w:rsidR="001B11FF" w:rsidRPr="00430707" w:rsidRDefault="00DE58AF">
            <w:pPr>
              <w:rPr>
                <w:rFonts w:ascii="Poppins" w:hAnsi="Poppins" w:cs="Poppins"/>
              </w:rPr>
            </w:pPr>
            <w:r w:rsidRPr="00FA334F">
              <w:rPr>
                <w:rFonts w:ascii="Poppins" w:hAnsi="Poppins" w:cs="Poppins"/>
              </w:rPr>
              <w:t>Any recovery costs and expenses increase the amount owed under the agreement and accrue interest monthly at the 10% Interest Rate from the date of demand.</w:t>
            </w:r>
          </w:p>
        </w:tc>
      </w:tr>
    </w:tbl>
    <w:p w14:paraId="0F8952A8" w14:textId="77777777" w:rsidR="00DE58AF" w:rsidRPr="00FA334F" w:rsidRDefault="00DE58AF" w:rsidP="00DE58AF">
      <w:pPr>
        <w:pStyle w:val="Heading2"/>
        <w:rPr>
          <w:kern w:val="2"/>
          <w:lang w:eastAsia="en-GB"/>
          <w14:ligatures w14:val="standardContextual"/>
        </w:rPr>
      </w:pPr>
      <w:r w:rsidRPr="00FA334F">
        <w:t>5. Repayments – Timing and Structure</w:t>
      </w:r>
    </w:p>
    <w:tbl>
      <w:tblPr>
        <w:tblW w:w="5536" w:type="pct"/>
        <w:tblCellSpacing w:w="15" w:type="dxa"/>
        <w:tblCellMar>
          <w:top w:w="15" w:type="dxa"/>
          <w:left w:w="15" w:type="dxa"/>
          <w:bottom w:w="15" w:type="dxa"/>
          <w:right w:w="15" w:type="dxa"/>
        </w:tblCellMar>
        <w:tblLook w:val="04A0" w:firstRow="1" w:lastRow="0" w:firstColumn="1" w:lastColumn="0" w:noHBand="0" w:noVBand="1"/>
      </w:tblPr>
      <w:tblGrid>
        <w:gridCol w:w="2292"/>
        <w:gridCol w:w="7256"/>
      </w:tblGrid>
      <w:tr w:rsidR="00596175" w:rsidRPr="00FA334F" w14:paraId="7D32D3B6" w14:textId="77777777" w:rsidTr="005F45F0">
        <w:trPr>
          <w:tblCellSpacing w:w="15" w:type="dxa"/>
        </w:trPr>
        <w:tc>
          <w:tcPr>
            <w:tcW w:w="1177" w:type="pct"/>
            <w:tcBorders>
              <w:top w:val="single" w:sz="6" w:space="0" w:color="auto"/>
              <w:left w:val="single" w:sz="6" w:space="0" w:color="auto"/>
              <w:bottom w:val="single" w:sz="6" w:space="0" w:color="auto"/>
              <w:right w:val="single" w:sz="6" w:space="0" w:color="auto"/>
            </w:tcBorders>
            <w:vAlign w:val="center"/>
            <w:hideMark/>
          </w:tcPr>
          <w:p w14:paraId="3AC155C3" w14:textId="77777777" w:rsidR="00596175" w:rsidRPr="00FA334F" w:rsidRDefault="00596175">
            <w:pPr>
              <w:rPr>
                <w:rFonts w:ascii="Poppins" w:hAnsi="Poppins" w:cs="Poppins"/>
                <w:kern w:val="2"/>
                <w:lang w:eastAsia="en-GB"/>
                <w14:ligatures w14:val="standardContextual"/>
              </w:rPr>
            </w:pPr>
            <w:r w:rsidRPr="00FA334F">
              <w:rPr>
                <w:rFonts w:ascii="Poppins" w:hAnsi="Poppins" w:cs="Poppins"/>
                <w:b/>
                <w:bCs/>
              </w:rPr>
              <w:t xml:space="preserve">Repayment </w:t>
            </w:r>
            <w:proofErr w:type="gramStart"/>
            <w:r w:rsidRPr="00FA334F">
              <w:rPr>
                <w:rFonts w:ascii="Poppins" w:hAnsi="Poppins" w:cs="Poppins"/>
                <w:b/>
                <w:bCs/>
              </w:rPr>
              <w:t>start</w:t>
            </w:r>
            <w:proofErr w:type="gramEnd"/>
          </w:p>
        </w:tc>
        <w:tc>
          <w:tcPr>
            <w:tcW w:w="3776" w:type="pct"/>
            <w:tcBorders>
              <w:top w:val="single" w:sz="6" w:space="0" w:color="auto"/>
              <w:left w:val="single" w:sz="6" w:space="0" w:color="auto"/>
              <w:bottom w:val="single" w:sz="6" w:space="0" w:color="auto"/>
              <w:right w:val="single" w:sz="6" w:space="0" w:color="auto"/>
            </w:tcBorders>
            <w:vAlign w:val="center"/>
            <w:hideMark/>
          </w:tcPr>
          <w:p w14:paraId="2603DC9A" w14:textId="13CF11F9" w:rsidR="00596175" w:rsidRPr="00FA334F" w:rsidRDefault="00596175">
            <w:pPr>
              <w:rPr>
                <w:rFonts w:ascii="Poppins" w:hAnsi="Poppins" w:cs="Poppins"/>
              </w:rPr>
            </w:pPr>
            <w:r w:rsidRPr="00FA334F">
              <w:rPr>
                <w:rFonts w:ascii="Poppins" w:hAnsi="Poppins" w:cs="Poppins"/>
              </w:rPr>
              <w:t xml:space="preserve">First payment date after </w:t>
            </w:r>
            <w:r w:rsidRPr="009C5B4E">
              <w:rPr>
                <w:rFonts w:ascii="Poppins" w:hAnsi="Poppins" w:cs="Poppins"/>
              </w:rPr>
              <w:t>the Commercial Operation Date (COD)</w:t>
            </w:r>
            <w:r w:rsidR="00586586">
              <w:rPr>
                <w:rFonts w:ascii="Poppins" w:hAnsi="Poppins" w:cs="Poppins"/>
              </w:rPr>
              <w:t xml:space="preserve"> </w:t>
            </w:r>
            <w:r w:rsidR="00586586" w:rsidRPr="00586586">
              <w:rPr>
                <w:rFonts w:ascii="Poppins" w:hAnsi="Poppins" w:cs="Poppins"/>
              </w:rPr>
              <w:t>(i.e. when the project is fully operational)</w:t>
            </w:r>
            <w:r w:rsidR="00C6638A">
              <w:rPr>
                <w:rFonts w:ascii="Poppins" w:hAnsi="Poppins" w:cs="Poppins"/>
              </w:rPr>
              <w:t>,</w:t>
            </w:r>
            <w:r w:rsidR="009346FB">
              <w:rPr>
                <w:rFonts w:ascii="Poppins" w:hAnsi="Poppins" w:cs="Poppins"/>
              </w:rPr>
              <w:t xml:space="preserve"> envisaged to be the first</w:t>
            </w:r>
            <w:r w:rsidR="005B1CDF">
              <w:rPr>
                <w:rFonts w:ascii="Poppins" w:hAnsi="Poppins" w:cs="Poppins"/>
              </w:rPr>
              <w:t xml:space="preserve"> full</w:t>
            </w:r>
            <w:r w:rsidR="009346FB">
              <w:rPr>
                <w:rFonts w:ascii="Poppins" w:hAnsi="Poppins" w:cs="Poppins"/>
              </w:rPr>
              <w:t xml:space="preserve"> quarter after COD</w:t>
            </w:r>
            <w:r w:rsidR="00631BEB">
              <w:rPr>
                <w:rFonts w:ascii="Poppins" w:hAnsi="Poppins" w:cs="Poppins"/>
              </w:rPr>
              <w:t>,</w:t>
            </w:r>
            <w:r w:rsidR="009346FB">
              <w:rPr>
                <w:rFonts w:ascii="Poppins" w:hAnsi="Poppins" w:cs="Poppins"/>
              </w:rPr>
              <w:t xml:space="preserve"> unless agreed otherwise</w:t>
            </w:r>
            <w:r w:rsidR="00631BEB">
              <w:rPr>
                <w:rFonts w:ascii="Poppins" w:hAnsi="Poppins" w:cs="Poppins"/>
              </w:rPr>
              <w:t xml:space="preserve"> in writing</w:t>
            </w:r>
            <w:r w:rsidR="009346FB">
              <w:rPr>
                <w:rFonts w:ascii="Poppins" w:hAnsi="Poppins" w:cs="Poppins"/>
              </w:rPr>
              <w:t>.</w:t>
            </w:r>
          </w:p>
        </w:tc>
      </w:tr>
      <w:tr w:rsidR="00596175" w:rsidRPr="00FA334F" w14:paraId="63D903F8" w14:textId="77777777" w:rsidTr="005F45F0">
        <w:trPr>
          <w:tblCellSpacing w:w="15" w:type="dxa"/>
        </w:trPr>
        <w:tc>
          <w:tcPr>
            <w:tcW w:w="1177" w:type="pct"/>
            <w:tcBorders>
              <w:top w:val="single" w:sz="6" w:space="0" w:color="auto"/>
              <w:left w:val="single" w:sz="6" w:space="0" w:color="auto"/>
              <w:bottom w:val="single" w:sz="6" w:space="0" w:color="auto"/>
              <w:right w:val="single" w:sz="6" w:space="0" w:color="auto"/>
            </w:tcBorders>
            <w:vAlign w:val="center"/>
            <w:hideMark/>
          </w:tcPr>
          <w:p w14:paraId="21F0F02B" w14:textId="77777777" w:rsidR="00596175" w:rsidRPr="00FA334F" w:rsidRDefault="00596175">
            <w:pPr>
              <w:rPr>
                <w:rFonts w:ascii="Poppins" w:hAnsi="Poppins" w:cs="Poppins"/>
              </w:rPr>
            </w:pPr>
            <w:r w:rsidRPr="00FA334F">
              <w:rPr>
                <w:rFonts w:ascii="Poppins" w:hAnsi="Poppins" w:cs="Poppins"/>
                <w:b/>
                <w:bCs/>
              </w:rPr>
              <w:t>Payment frequency</w:t>
            </w:r>
          </w:p>
        </w:tc>
        <w:tc>
          <w:tcPr>
            <w:tcW w:w="3776" w:type="pct"/>
            <w:tcBorders>
              <w:top w:val="single" w:sz="6" w:space="0" w:color="auto"/>
              <w:left w:val="single" w:sz="6" w:space="0" w:color="auto"/>
              <w:bottom w:val="single" w:sz="6" w:space="0" w:color="auto"/>
              <w:right w:val="single" w:sz="6" w:space="0" w:color="auto"/>
            </w:tcBorders>
            <w:vAlign w:val="center"/>
            <w:hideMark/>
          </w:tcPr>
          <w:p w14:paraId="333A6F9F" w14:textId="7D8E004A" w:rsidR="00596175" w:rsidRPr="00FA334F" w:rsidRDefault="00596175">
            <w:pPr>
              <w:rPr>
                <w:rFonts w:ascii="Poppins" w:hAnsi="Poppins" w:cs="Poppins"/>
              </w:rPr>
            </w:pPr>
            <w:r w:rsidRPr="00FA334F">
              <w:rPr>
                <w:rFonts w:ascii="Poppins" w:hAnsi="Poppins" w:cs="Poppins"/>
              </w:rPr>
              <w:t>Quarterly: 31 March, 30 June, 30 September, 31 December</w:t>
            </w:r>
            <w:r w:rsidR="005F45F0">
              <w:rPr>
                <w:rFonts w:ascii="Poppins" w:hAnsi="Poppins" w:cs="Poppins"/>
              </w:rPr>
              <w:t>.</w:t>
            </w:r>
          </w:p>
        </w:tc>
      </w:tr>
      <w:tr w:rsidR="00596175" w:rsidRPr="00FA334F" w14:paraId="6728FE4F" w14:textId="77777777" w:rsidTr="005F45F0">
        <w:trPr>
          <w:tblCellSpacing w:w="15" w:type="dxa"/>
        </w:trPr>
        <w:tc>
          <w:tcPr>
            <w:tcW w:w="1177" w:type="pct"/>
            <w:tcBorders>
              <w:top w:val="single" w:sz="6" w:space="0" w:color="auto"/>
              <w:left w:val="single" w:sz="6" w:space="0" w:color="auto"/>
              <w:bottom w:val="single" w:sz="6" w:space="0" w:color="auto"/>
              <w:right w:val="single" w:sz="6" w:space="0" w:color="auto"/>
            </w:tcBorders>
            <w:vAlign w:val="center"/>
            <w:hideMark/>
          </w:tcPr>
          <w:p w14:paraId="6E419E07" w14:textId="77777777" w:rsidR="00596175" w:rsidRPr="00FA334F" w:rsidRDefault="00596175">
            <w:pPr>
              <w:rPr>
                <w:rFonts w:ascii="Poppins" w:hAnsi="Poppins" w:cs="Poppins"/>
              </w:rPr>
            </w:pPr>
            <w:r w:rsidRPr="00FA334F">
              <w:rPr>
                <w:rFonts w:ascii="Poppins" w:hAnsi="Poppins" w:cs="Poppins"/>
                <w:b/>
                <w:bCs/>
              </w:rPr>
              <w:t>Final payment</w:t>
            </w:r>
          </w:p>
        </w:tc>
        <w:tc>
          <w:tcPr>
            <w:tcW w:w="3776" w:type="pct"/>
            <w:tcBorders>
              <w:top w:val="single" w:sz="6" w:space="0" w:color="auto"/>
              <w:left w:val="single" w:sz="6" w:space="0" w:color="auto"/>
              <w:bottom w:val="single" w:sz="6" w:space="0" w:color="auto"/>
              <w:right w:val="single" w:sz="6" w:space="0" w:color="auto"/>
            </w:tcBorders>
            <w:vAlign w:val="center"/>
            <w:hideMark/>
          </w:tcPr>
          <w:p w14:paraId="66585E5D" w14:textId="4BAE112A" w:rsidR="00596175" w:rsidRPr="00FA334F" w:rsidRDefault="00596175">
            <w:pPr>
              <w:rPr>
                <w:rFonts w:ascii="Poppins" w:hAnsi="Poppins" w:cs="Poppins"/>
              </w:rPr>
            </w:pPr>
            <w:r w:rsidRPr="00FA334F">
              <w:rPr>
                <w:rFonts w:ascii="Poppins" w:hAnsi="Poppins" w:cs="Poppins"/>
              </w:rPr>
              <w:t>May include a final balloon payment</w:t>
            </w:r>
            <w:r w:rsidR="005F45F0">
              <w:rPr>
                <w:rFonts w:ascii="Poppins" w:hAnsi="Poppins" w:cs="Poppins"/>
              </w:rPr>
              <w:t>.</w:t>
            </w:r>
          </w:p>
        </w:tc>
      </w:tr>
    </w:tbl>
    <w:p w14:paraId="6914938E" w14:textId="77777777" w:rsidR="00DE58AF" w:rsidRPr="00FA334F" w:rsidRDefault="00DE58AF" w:rsidP="00DE58AF">
      <w:pPr>
        <w:pStyle w:val="Heading2"/>
        <w:rPr>
          <w:kern w:val="2"/>
          <w:lang w:eastAsia="en-GB"/>
          <w14:ligatures w14:val="standardContextual"/>
        </w:rPr>
      </w:pPr>
      <w:r w:rsidRPr="00FA334F">
        <w:t>6. Repayment Timeline (Illustrative)</w:t>
      </w:r>
    </w:p>
    <w:tbl>
      <w:tblPr>
        <w:tblW w:w="5536" w:type="pct"/>
        <w:tblCellSpacing w:w="15" w:type="dxa"/>
        <w:tblCellMar>
          <w:top w:w="15" w:type="dxa"/>
          <w:left w:w="15" w:type="dxa"/>
          <w:bottom w:w="15" w:type="dxa"/>
          <w:right w:w="15" w:type="dxa"/>
        </w:tblCellMar>
        <w:tblLook w:val="04A0" w:firstRow="1" w:lastRow="0" w:firstColumn="1" w:lastColumn="0" w:noHBand="0" w:noVBand="1"/>
      </w:tblPr>
      <w:tblGrid>
        <w:gridCol w:w="2290"/>
        <w:gridCol w:w="7258"/>
      </w:tblGrid>
      <w:tr w:rsidR="00596175" w:rsidRPr="00FA334F" w14:paraId="40DC9E25" w14:textId="77777777" w:rsidTr="00781869">
        <w:trPr>
          <w:tblCellSpacing w:w="15" w:type="dxa"/>
        </w:trPr>
        <w:tc>
          <w:tcPr>
            <w:tcW w:w="1176" w:type="pct"/>
            <w:tcBorders>
              <w:top w:val="single" w:sz="6" w:space="0" w:color="auto"/>
              <w:left w:val="single" w:sz="6" w:space="0" w:color="auto"/>
              <w:bottom w:val="single" w:sz="6" w:space="0" w:color="auto"/>
              <w:right w:val="single" w:sz="6" w:space="0" w:color="auto"/>
            </w:tcBorders>
            <w:vAlign w:val="center"/>
            <w:hideMark/>
          </w:tcPr>
          <w:p w14:paraId="71CCE2D0" w14:textId="77777777" w:rsidR="00596175" w:rsidRPr="00FA334F" w:rsidRDefault="00596175">
            <w:pPr>
              <w:rPr>
                <w:rFonts w:ascii="Poppins" w:hAnsi="Poppins" w:cs="Poppins"/>
                <w:kern w:val="2"/>
                <w:lang w:eastAsia="en-GB"/>
                <w14:ligatures w14:val="standardContextual"/>
              </w:rPr>
            </w:pPr>
            <w:r w:rsidRPr="00FA334F">
              <w:rPr>
                <w:rFonts w:ascii="Poppins" w:hAnsi="Poppins" w:cs="Poppins"/>
                <w:b/>
                <w:bCs/>
              </w:rPr>
              <w:t>Timeline</w:t>
            </w:r>
          </w:p>
        </w:tc>
        <w:tc>
          <w:tcPr>
            <w:tcW w:w="3777" w:type="pct"/>
            <w:tcBorders>
              <w:top w:val="single" w:sz="6" w:space="0" w:color="auto"/>
              <w:left w:val="single" w:sz="6" w:space="0" w:color="auto"/>
              <w:bottom w:val="single" w:sz="6" w:space="0" w:color="auto"/>
              <w:right w:val="single" w:sz="6" w:space="0" w:color="auto"/>
            </w:tcBorders>
            <w:vAlign w:val="center"/>
            <w:hideMark/>
          </w:tcPr>
          <w:p w14:paraId="5C26356E" w14:textId="366A3FDF" w:rsidR="00596175" w:rsidRPr="00FA334F" w:rsidRDefault="00596175">
            <w:pPr>
              <w:rPr>
                <w:rFonts w:ascii="Poppins" w:hAnsi="Poppins" w:cs="Poppins"/>
              </w:rPr>
            </w:pPr>
            <w:r w:rsidRPr="00FA334F">
              <w:rPr>
                <w:rFonts w:ascii="Poppins" w:hAnsi="Poppins" w:cs="Poppins"/>
              </w:rPr>
              <w:t xml:space="preserve">Application </w:t>
            </w:r>
            <w:r w:rsidRPr="00FA334F">
              <w:rPr>
                <w:rFonts w:ascii="Times New Roman" w:hAnsi="Times New Roman" w:cs="Times New Roman"/>
              </w:rPr>
              <w:t>→</w:t>
            </w:r>
            <w:r w:rsidRPr="00FA334F">
              <w:rPr>
                <w:rFonts w:ascii="Poppins" w:hAnsi="Poppins" w:cs="Poppins"/>
              </w:rPr>
              <w:t xml:space="preserve"> Loan Agreement </w:t>
            </w:r>
            <w:r w:rsidRPr="00FA334F">
              <w:rPr>
                <w:rFonts w:ascii="Times New Roman" w:hAnsi="Times New Roman" w:cs="Times New Roman"/>
              </w:rPr>
              <w:t>→</w:t>
            </w:r>
            <w:r w:rsidRPr="00FA334F">
              <w:rPr>
                <w:rFonts w:ascii="Poppins" w:hAnsi="Poppins" w:cs="Poppins"/>
              </w:rPr>
              <w:t xml:space="preserve"> Drawdown Period </w:t>
            </w:r>
            <w:r w:rsidRPr="00FA334F">
              <w:rPr>
                <w:rFonts w:ascii="Times New Roman" w:hAnsi="Times New Roman" w:cs="Times New Roman"/>
              </w:rPr>
              <w:t>→</w:t>
            </w:r>
            <w:r w:rsidRPr="00FA334F">
              <w:rPr>
                <w:rFonts w:ascii="Poppins" w:hAnsi="Poppins" w:cs="Poppins"/>
              </w:rPr>
              <w:t xml:space="preserve"> </w:t>
            </w:r>
            <w:r w:rsidR="00967AA3" w:rsidRPr="00FA334F">
              <w:rPr>
                <w:rFonts w:ascii="Poppins" w:hAnsi="Poppins" w:cs="Poppins"/>
              </w:rPr>
              <w:t xml:space="preserve">Interest free period starts </w:t>
            </w:r>
            <w:r w:rsidR="00967AA3" w:rsidRPr="00FA334F">
              <w:rPr>
                <w:rFonts w:ascii="Times New Roman" w:hAnsi="Times New Roman" w:cs="Times New Roman"/>
              </w:rPr>
              <w:t xml:space="preserve">→ </w:t>
            </w:r>
            <w:r w:rsidRPr="00FA334F">
              <w:rPr>
                <w:rFonts w:ascii="Poppins" w:hAnsi="Poppins" w:cs="Poppins"/>
              </w:rPr>
              <w:t xml:space="preserve">Construction Phase </w:t>
            </w:r>
            <w:r w:rsidRPr="00FA334F">
              <w:rPr>
                <w:rFonts w:ascii="Times New Roman" w:hAnsi="Times New Roman" w:cs="Times New Roman"/>
              </w:rPr>
              <w:t>→</w:t>
            </w:r>
            <w:r w:rsidRPr="00FA334F">
              <w:rPr>
                <w:rFonts w:ascii="Poppins" w:hAnsi="Poppins" w:cs="Poppins"/>
              </w:rPr>
              <w:t xml:space="preserve"> </w:t>
            </w:r>
            <w:r w:rsidRPr="009C5B4E">
              <w:rPr>
                <w:rFonts w:ascii="Poppins" w:hAnsi="Poppins" w:cs="Poppins"/>
              </w:rPr>
              <w:t>COD</w:t>
            </w:r>
            <w:r w:rsidRPr="00FA334F">
              <w:rPr>
                <w:rFonts w:ascii="Poppins" w:hAnsi="Poppins" w:cs="Poppins"/>
              </w:rPr>
              <w:t xml:space="preserve"> (Project </w:t>
            </w:r>
            <w:r w:rsidRPr="00FA334F">
              <w:rPr>
                <w:rFonts w:ascii="Poppins" w:hAnsi="Poppins" w:cs="Poppins"/>
              </w:rPr>
              <w:lastRenderedPageBreak/>
              <w:t xml:space="preserve">Operational) </w:t>
            </w:r>
            <w:r w:rsidRPr="00FA334F">
              <w:rPr>
                <w:rFonts w:ascii="Times New Roman" w:hAnsi="Times New Roman" w:cs="Times New Roman"/>
              </w:rPr>
              <w:t>→</w:t>
            </w:r>
            <w:r w:rsidRPr="00FA334F">
              <w:rPr>
                <w:rFonts w:ascii="Poppins" w:hAnsi="Poppins" w:cs="Poppins"/>
              </w:rPr>
              <w:t xml:space="preserve"> First Payment Date </w:t>
            </w:r>
            <w:r w:rsidRPr="00FA334F">
              <w:rPr>
                <w:rFonts w:ascii="Times New Roman" w:hAnsi="Times New Roman" w:cs="Times New Roman"/>
              </w:rPr>
              <w:t>→</w:t>
            </w:r>
            <w:r w:rsidRPr="00FA334F">
              <w:rPr>
                <w:rFonts w:ascii="Poppins" w:hAnsi="Poppins" w:cs="Poppins"/>
              </w:rPr>
              <w:t xml:space="preserve"> Quarterly Repayments </w:t>
            </w:r>
            <w:r w:rsidRPr="00FA334F">
              <w:rPr>
                <w:rFonts w:ascii="Times New Roman" w:hAnsi="Times New Roman" w:cs="Times New Roman"/>
              </w:rPr>
              <w:t>→</w:t>
            </w:r>
            <w:r w:rsidRPr="00FA334F">
              <w:rPr>
                <w:rFonts w:ascii="Poppins" w:hAnsi="Poppins" w:cs="Poppins"/>
              </w:rPr>
              <w:t xml:space="preserve"> Loan Maturity</w:t>
            </w:r>
            <w:r w:rsidR="00F10739" w:rsidRPr="00FA334F">
              <w:rPr>
                <w:rFonts w:ascii="Poppins" w:hAnsi="Poppins" w:cs="Poppins"/>
              </w:rPr>
              <w:t>.</w:t>
            </w:r>
          </w:p>
        </w:tc>
      </w:tr>
      <w:tr w:rsidR="00596175" w:rsidRPr="00FA334F" w14:paraId="1A7A097A" w14:textId="77777777" w:rsidTr="00781869">
        <w:trPr>
          <w:tblCellSpacing w:w="15" w:type="dxa"/>
        </w:trPr>
        <w:tc>
          <w:tcPr>
            <w:tcW w:w="1176" w:type="pct"/>
            <w:tcBorders>
              <w:top w:val="single" w:sz="6" w:space="0" w:color="auto"/>
              <w:left w:val="single" w:sz="6" w:space="0" w:color="auto"/>
              <w:bottom w:val="single" w:sz="6" w:space="0" w:color="auto"/>
              <w:right w:val="single" w:sz="6" w:space="0" w:color="auto"/>
            </w:tcBorders>
            <w:vAlign w:val="center"/>
            <w:hideMark/>
          </w:tcPr>
          <w:p w14:paraId="6AABBB78" w14:textId="77777777" w:rsidR="00596175" w:rsidRPr="00FA334F" w:rsidRDefault="00596175">
            <w:pPr>
              <w:rPr>
                <w:rFonts w:ascii="Poppins" w:hAnsi="Poppins" w:cs="Poppins"/>
              </w:rPr>
            </w:pPr>
            <w:r w:rsidRPr="00FA334F">
              <w:rPr>
                <w:rFonts w:ascii="Poppins" w:hAnsi="Poppins" w:cs="Poppins"/>
                <w:b/>
                <w:bCs/>
              </w:rPr>
              <w:lastRenderedPageBreak/>
              <w:t>Key point</w:t>
            </w:r>
          </w:p>
        </w:tc>
        <w:tc>
          <w:tcPr>
            <w:tcW w:w="3777" w:type="pct"/>
            <w:tcBorders>
              <w:top w:val="single" w:sz="6" w:space="0" w:color="auto"/>
              <w:left w:val="single" w:sz="6" w:space="0" w:color="auto"/>
              <w:bottom w:val="single" w:sz="6" w:space="0" w:color="auto"/>
              <w:right w:val="single" w:sz="6" w:space="0" w:color="auto"/>
            </w:tcBorders>
            <w:vAlign w:val="center"/>
            <w:hideMark/>
          </w:tcPr>
          <w:p w14:paraId="62D170C9" w14:textId="2FC442CF" w:rsidR="0017675C" w:rsidRPr="00FA334F" w:rsidRDefault="0017675C" w:rsidP="0017675C">
            <w:pPr>
              <w:rPr>
                <w:rFonts w:ascii="Poppins" w:hAnsi="Poppins" w:cs="Poppins"/>
              </w:rPr>
            </w:pPr>
            <w:r w:rsidRPr="00FA334F">
              <w:rPr>
                <w:rFonts w:ascii="Poppins" w:hAnsi="Poppins" w:cs="Poppins"/>
              </w:rPr>
              <w:t>The loan is interest-free for 18 months from first drawdown</w:t>
            </w:r>
            <w:r w:rsidR="0067400D" w:rsidRPr="00FA334F">
              <w:rPr>
                <w:rFonts w:ascii="Poppins" w:hAnsi="Poppins" w:cs="Poppins"/>
              </w:rPr>
              <w:t xml:space="preserve"> with i</w:t>
            </w:r>
            <w:r w:rsidRPr="00FA334F">
              <w:rPr>
                <w:rFonts w:ascii="Poppins" w:hAnsi="Poppins" w:cs="Poppins"/>
              </w:rPr>
              <w:t>nterest accru</w:t>
            </w:r>
            <w:r w:rsidR="0067400D" w:rsidRPr="00FA334F">
              <w:rPr>
                <w:rFonts w:ascii="Poppins" w:hAnsi="Poppins" w:cs="Poppins"/>
              </w:rPr>
              <w:t>ing</w:t>
            </w:r>
            <w:r w:rsidRPr="00FA334F">
              <w:rPr>
                <w:rFonts w:ascii="Poppins" w:hAnsi="Poppins" w:cs="Poppins"/>
              </w:rPr>
              <w:t xml:space="preserve"> from month 19 onwards</w:t>
            </w:r>
            <w:r w:rsidR="00926313">
              <w:rPr>
                <w:rFonts w:ascii="Poppins" w:hAnsi="Poppins" w:cs="Poppins"/>
              </w:rPr>
              <w:t xml:space="preserve"> </w:t>
            </w:r>
            <w:r w:rsidR="00926313" w:rsidRPr="00926313">
              <w:rPr>
                <w:rFonts w:ascii="Poppins" w:hAnsi="Poppins" w:cs="Poppins"/>
              </w:rPr>
              <w:t>and payable on a quarterly basis on the Repayment dates</w:t>
            </w:r>
            <w:r w:rsidR="0067400D" w:rsidRPr="00FA334F">
              <w:rPr>
                <w:rFonts w:ascii="Poppins" w:hAnsi="Poppins" w:cs="Poppins"/>
              </w:rPr>
              <w:t>.</w:t>
            </w:r>
          </w:p>
          <w:p w14:paraId="30ADEF8D" w14:textId="2CF9C3F1" w:rsidR="00154466" w:rsidRPr="00154466" w:rsidRDefault="00154466" w:rsidP="00154466">
            <w:pPr>
              <w:rPr>
                <w:rFonts w:ascii="Poppins" w:hAnsi="Poppins" w:cs="Poppins"/>
              </w:rPr>
            </w:pPr>
            <w:r w:rsidRPr="00154466">
              <w:rPr>
                <w:rFonts w:ascii="Poppins" w:hAnsi="Poppins" w:cs="Poppins"/>
              </w:rPr>
              <w:t xml:space="preserve">Repayments will commence after the Commercial Operations Date (COD) (i.e. when the project starts operating and generating income). The COD is not a fixed date set by the </w:t>
            </w:r>
            <w:r w:rsidR="009C5B4E">
              <w:rPr>
                <w:rFonts w:ascii="Poppins" w:hAnsi="Poppins" w:cs="Poppins"/>
              </w:rPr>
              <w:t>us</w:t>
            </w:r>
            <w:r w:rsidRPr="00154466">
              <w:rPr>
                <w:rFonts w:ascii="Poppins" w:hAnsi="Poppins" w:cs="Poppins"/>
              </w:rPr>
              <w:t xml:space="preserve"> at this stage; it will be defined by the project and agreed as part of the loan approval process.</w:t>
            </w:r>
          </w:p>
          <w:p w14:paraId="5943D61D" w14:textId="0D536BB6" w:rsidR="00154466" w:rsidRPr="00FA334F" w:rsidRDefault="00154466" w:rsidP="0017675C">
            <w:pPr>
              <w:rPr>
                <w:rFonts w:ascii="Poppins" w:hAnsi="Poppins" w:cs="Poppins"/>
              </w:rPr>
            </w:pPr>
          </w:p>
        </w:tc>
      </w:tr>
    </w:tbl>
    <w:p w14:paraId="6AC8A72E" w14:textId="77777777" w:rsidR="00DE58AF" w:rsidRPr="00FA334F" w:rsidRDefault="00DE58AF" w:rsidP="00DE58AF">
      <w:pPr>
        <w:pStyle w:val="Heading2"/>
        <w:rPr>
          <w:kern w:val="2"/>
          <w:lang w:eastAsia="en-GB"/>
          <w14:ligatures w14:val="standardContextual"/>
        </w:rPr>
      </w:pPr>
      <w:r w:rsidRPr="00FA334F">
        <w:t>7. APR Example (Illustrative)</w:t>
      </w:r>
    </w:p>
    <w:tbl>
      <w:tblPr>
        <w:tblW w:w="5536" w:type="pct"/>
        <w:tblCellSpacing w:w="15" w:type="dxa"/>
        <w:tblCellMar>
          <w:top w:w="15" w:type="dxa"/>
          <w:left w:w="15" w:type="dxa"/>
          <w:bottom w:w="15" w:type="dxa"/>
          <w:right w:w="15" w:type="dxa"/>
        </w:tblCellMar>
        <w:tblLook w:val="04A0" w:firstRow="1" w:lastRow="0" w:firstColumn="1" w:lastColumn="0" w:noHBand="0" w:noVBand="1"/>
      </w:tblPr>
      <w:tblGrid>
        <w:gridCol w:w="2290"/>
        <w:gridCol w:w="7258"/>
      </w:tblGrid>
      <w:tr w:rsidR="00A764F0" w:rsidRPr="00FA334F" w14:paraId="77DA2C2D" w14:textId="77777777" w:rsidTr="00B96847">
        <w:trPr>
          <w:tblCellSpacing w:w="15" w:type="dxa"/>
        </w:trPr>
        <w:tc>
          <w:tcPr>
            <w:tcW w:w="1176" w:type="pct"/>
            <w:tcBorders>
              <w:top w:val="single" w:sz="6" w:space="0" w:color="auto"/>
              <w:left w:val="single" w:sz="6" w:space="0" w:color="auto"/>
              <w:bottom w:val="single" w:sz="6" w:space="0" w:color="auto"/>
              <w:right w:val="single" w:sz="6" w:space="0" w:color="auto"/>
            </w:tcBorders>
            <w:vAlign w:val="center"/>
            <w:hideMark/>
          </w:tcPr>
          <w:p w14:paraId="00C5ADB4" w14:textId="77777777" w:rsidR="00A764F0" w:rsidRPr="00FA334F" w:rsidRDefault="00A764F0">
            <w:pPr>
              <w:rPr>
                <w:rFonts w:ascii="Poppins" w:hAnsi="Poppins" w:cs="Poppins"/>
                <w:kern w:val="2"/>
                <w:lang w:eastAsia="en-GB"/>
                <w14:ligatures w14:val="standardContextual"/>
              </w:rPr>
            </w:pPr>
            <w:r w:rsidRPr="00FA334F">
              <w:rPr>
                <w:rFonts w:ascii="Poppins" w:hAnsi="Poppins" w:cs="Poppins"/>
                <w:b/>
                <w:bCs/>
              </w:rPr>
              <w:t>Representative example</w:t>
            </w:r>
          </w:p>
        </w:tc>
        <w:tc>
          <w:tcPr>
            <w:tcW w:w="3777" w:type="pct"/>
            <w:tcBorders>
              <w:top w:val="single" w:sz="6" w:space="0" w:color="auto"/>
              <w:left w:val="single" w:sz="6" w:space="0" w:color="auto"/>
              <w:bottom w:val="single" w:sz="6" w:space="0" w:color="auto"/>
              <w:right w:val="single" w:sz="6" w:space="0" w:color="auto"/>
            </w:tcBorders>
            <w:vAlign w:val="center"/>
            <w:hideMark/>
          </w:tcPr>
          <w:p w14:paraId="3AA57083" w14:textId="3570A52E" w:rsidR="00A764F0" w:rsidRPr="00FA334F" w:rsidRDefault="00BD6B0B">
            <w:pPr>
              <w:rPr>
                <w:rFonts w:ascii="Poppins" w:hAnsi="Poppins" w:cs="Poppins"/>
              </w:rPr>
            </w:pPr>
            <w:r w:rsidRPr="00FA334F">
              <w:rPr>
                <w:rFonts w:ascii="Poppins" w:hAnsi="Poppins" w:cs="Poppins"/>
              </w:rPr>
              <w:t xml:space="preserve">Based on a £100,000 loan over a 5-year term, with </w:t>
            </w:r>
            <w:r>
              <w:rPr>
                <w:rFonts w:ascii="Poppins" w:hAnsi="Poppins" w:cs="Poppins"/>
              </w:rPr>
              <w:t xml:space="preserve">equal </w:t>
            </w:r>
            <w:r w:rsidRPr="00FA334F">
              <w:rPr>
                <w:rFonts w:ascii="Poppins" w:hAnsi="Poppins" w:cs="Poppins"/>
              </w:rPr>
              <w:t xml:space="preserve">repayments starting 9 months after drawdown and </w:t>
            </w:r>
            <w:r>
              <w:rPr>
                <w:rFonts w:ascii="Poppins" w:hAnsi="Poppins" w:cs="Poppins"/>
              </w:rPr>
              <w:t>the cost of credit set out in this agreement</w:t>
            </w:r>
            <w:r w:rsidRPr="00FA334F">
              <w:rPr>
                <w:rFonts w:ascii="Poppins" w:hAnsi="Poppins" w:cs="Poppins"/>
              </w:rPr>
              <w:t>, the representative APR is approximately 3.</w:t>
            </w:r>
            <w:r>
              <w:rPr>
                <w:rFonts w:ascii="Poppins" w:hAnsi="Poppins" w:cs="Poppins"/>
              </w:rPr>
              <w:t>7</w:t>
            </w:r>
            <w:r w:rsidRPr="00FA334F">
              <w:rPr>
                <w:rFonts w:ascii="Poppins" w:hAnsi="Poppins" w:cs="Poppins"/>
              </w:rPr>
              <w:t>%, with a total amount payable of approximately £111,</w:t>
            </w:r>
            <w:r>
              <w:rPr>
                <w:rFonts w:ascii="Poppins" w:hAnsi="Poppins" w:cs="Poppins"/>
              </w:rPr>
              <w:t>111</w:t>
            </w:r>
            <w:r w:rsidRPr="00FA334F">
              <w:rPr>
                <w:rFonts w:ascii="Poppins" w:hAnsi="Poppins" w:cs="Poppins"/>
              </w:rPr>
              <w:t>.</w:t>
            </w:r>
          </w:p>
        </w:tc>
      </w:tr>
      <w:tr w:rsidR="00A764F0" w:rsidRPr="00FA334F" w14:paraId="6CD3DA21" w14:textId="77777777" w:rsidTr="00B96847">
        <w:trPr>
          <w:tblCellSpacing w:w="15" w:type="dxa"/>
        </w:trPr>
        <w:tc>
          <w:tcPr>
            <w:tcW w:w="1176" w:type="pct"/>
            <w:tcBorders>
              <w:top w:val="single" w:sz="6" w:space="0" w:color="auto"/>
              <w:left w:val="single" w:sz="6" w:space="0" w:color="auto"/>
              <w:bottom w:val="single" w:sz="6" w:space="0" w:color="auto"/>
              <w:right w:val="single" w:sz="6" w:space="0" w:color="auto"/>
            </w:tcBorders>
            <w:vAlign w:val="center"/>
            <w:hideMark/>
          </w:tcPr>
          <w:p w14:paraId="1DA68B33" w14:textId="77777777" w:rsidR="00A764F0" w:rsidRPr="00FA334F" w:rsidRDefault="00A764F0">
            <w:pPr>
              <w:rPr>
                <w:rFonts w:ascii="Poppins" w:hAnsi="Poppins" w:cs="Poppins"/>
              </w:rPr>
            </w:pPr>
            <w:r w:rsidRPr="00FA334F">
              <w:rPr>
                <w:rFonts w:ascii="Poppins" w:hAnsi="Poppins" w:cs="Poppins"/>
                <w:b/>
                <w:bCs/>
              </w:rPr>
              <w:t>Customer explanation</w:t>
            </w:r>
          </w:p>
        </w:tc>
        <w:tc>
          <w:tcPr>
            <w:tcW w:w="3777" w:type="pct"/>
            <w:tcBorders>
              <w:top w:val="single" w:sz="6" w:space="0" w:color="auto"/>
              <w:left w:val="single" w:sz="6" w:space="0" w:color="auto"/>
              <w:bottom w:val="single" w:sz="6" w:space="0" w:color="auto"/>
              <w:right w:val="single" w:sz="6" w:space="0" w:color="auto"/>
            </w:tcBorders>
            <w:vAlign w:val="center"/>
            <w:hideMark/>
          </w:tcPr>
          <w:p w14:paraId="403BE63A" w14:textId="791E8474" w:rsidR="00A764F0" w:rsidRDefault="00A764F0" w:rsidP="00BA009F">
            <w:pPr>
              <w:rPr>
                <w:rFonts w:ascii="Poppins" w:hAnsi="Poppins" w:cs="Poppins"/>
              </w:rPr>
            </w:pPr>
            <w:r w:rsidRPr="00FA334F">
              <w:rPr>
                <w:rFonts w:ascii="Poppins" w:hAnsi="Poppins" w:cs="Poppins"/>
              </w:rPr>
              <w:t xml:space="preserve">The APR reflects the subsidised nature of the loan, including an initial interest-free period and deferred repayments until after project completion. </w:t>
            </w:r>
            <w:r w:rsidR="008B1AEA">
              <w:rPr>
                <w:rFonts w:ascii="Poppins" w:hAnsi="Poppins" w:cs="Poppins"/>
              </w:rPr>
              <w:t xml:space="preserve"> </w:t>
            </w:r>
            <w:r w:rsidRPr="00FA334F">
              <w:rPr>
                <w:rFonts w:ascii="Poppins" w:hAnsi="Poppins" w:cs="Poppins"/>
              </w:rPr>
              <w:t>Actual figures will vary depending on project timing, repayment structure, drawdown profile and whether a balloon repayment is used.</w:t>
            </w:r>
          </w:p>
          <w:p w14:paraId="1936F7F9" w14:textId="74E7A5DF" w:rsidR="00BA009F" w:rsidRPr="00FA334F" w:rsidRDefault="00254D34" w:rsidP="00BA009F">
            <w:pPr>
              <w:rPr>
                <w:rFonts w:ascii="Poppins" w:hAnsi="Poppins" w:cs="Poppins"/>
              </w:rPr>
            </w:pPr>
            <w:r w:rsidRPr="00FA334F">
              <w:rPr>
                <w:rFonts w:ascii="Poppins" w:hAnsi="Poppins" w:cs="Poppins"/>
              </w:rPr>
              <w:t>The actual APR, total amount payable and repayment schedule will be confirmed in the personalised illustration provided to the borrower.</w:t>
            </w:r>
          </w:p>
        </w:tc>
      </w:tr>
    </w:tbl>
    <w:p w14:paraId="1C3FE4A6" w14:textId="09282389" w:rsidR="00DE58AF" w:rsidRPr="00FA334F" w:rsidRDefault="00DE58AF" w:rsidP="00DE58AF">
      <w:pPr>
        <w:pStyle w:val="Heading2"/>
        <w:rPr>
          <w:kern w:val="2"/>
          <w:lang w:eastAsia="en-GB"/>
          <w14:ligatures w14:val="standardContextual"/>
        </w:rPr>
      </w:pPr>
      <w:r w:rsidRPr="00FA334F">
        <w:t xml:space="preserve">8. </w:t>
      </w:r>
      <w:r w:rsidR="00684789" w:rsidRPr="00FA334F">
        <w:t xml:space="preserve">APR Scenario Comparison </w:t>
      </w:r>
      <w:r w:rsidR="00684789">
        <w:t xml:space="preserve">for </w:t>
      </w:r>
      <w:r w:rsidR="00A407E3">
        <w:t>D</w:t>
      </w:r>
      <w:r w:rsidR="00684789">
        <w:t xml:space="preserve">ifferent </w:t>
      </w:r>
      <w:r w:rsidR="00A407E3">
        <w:t>R</w:t>
      </w:r>
      <w:r w:rsidR="00684789">
        <w:t xml:space="preserve">epayment </w:t>
      </w:r>
      <w:r w:rsidR="00A407E3">
        <w:t>S</w:t>
      </w:r>
      <w:r w:rsidR="00684789">
        <w:t>tructures.</w:t>
      </w:r>
    </w:p>
    <w:tbl>
      <w:tblPr>
        <w:tblW w:w="5536" w:type="pct"/>
        <w:tblCellSpacing w:w="15" w:type="dxa"/>
        <w:tblCellMar>
          <w:top w:w="15" w:type="dxa"/>
          <w:left w:w="15" w:type="dxa"/>
          <w:bottom w:w="15" w:type="dxa"/>
          <w:right w:w="15" w:type="dxa"/>
        </w:tblCellMar>
        <w:tblLook w:val="04A0" w:firstRow="1" w:lastRow="0" w:firstColumn="1" w:lastColumn="0" w:noHBand="0" w:noVBand="1"/>
      </w:tblPr>
      <w:tblGrid>
        <w:gridCol w:w="1680"/>
        <w:gridCol w:w="1826"/>
        <w:gridCol w:w="1703"/>
        <w:gridCol w:w="1712"/>
        <w:gridCol w:w="2627"/>
      </w:tblGrid>
      <w:tr w:rsidR="00A764F0" w:rsidRPr="00FA334F" w14:paraId="6E134730" w14:textId="77777777" w:rsidTr="00243317">
        <w:trPr>
          <w:tblCellSpacing w:w="15" w:type="dxa"/>
        </w:trPr>
        <w:tc>
          <w:tcPr>
            <w:tcW w:w="0" w:type="auto"/>
            <w:tcBorders>
              <w:top w:val="single" w:sz="6" w:space="0" w:color="auto"/>
              <w:left w:val="single" w:sz="6" w:space="0" w:color="auto"/>
              <w:bottom w:val="single" w:sz="6" w:space="0" w:color="auto"/>
              <w:right w:val="single" w:sz="6" w:space="0" w:color="auto"/>
            </w:tcBorders>
            <w:shd w:val="clear" w:color="auto" w:fill="D9EAF7"/>
            <w:vAlign w:val="center"/>
            <w:hideMark/>
          </w:tcPr>
          <w:p w14:paraId="7E996B5A" w14:textId="77777777" w:rsidR="00A764F0" w:rsidRPr="00FA334F" w:rsidRDefault="00A764F0">
            <w:pPr>
              <w:rPr>
                <w:rFonts w:ascii="Poppins" w:hAnsi="Poppins" w:cs="Poppins"/>
                <w:kern w:val="2"/>
                <w:lang w:eastAsia="en-GB"/>
                <w14:ligatures w14:val="standardContextual"/>
              </w:rPr>
            </w:pPr>
            <w:r w:rsidRPr="00FA334F">
              <w:rPr>
                <w:rFonts w:ascii="Poppins" w:hAnsi="Poppins" w:cs="Poppins"/>
                <w:b/>
                <w:bCs/>
              </w:rPr>
              <w:t>Scenario</w:t>
            </w:r>
          </w:p>
        </w:tc>
        <w:tc>
          <w:tcPr>
            <w:tcW w:w="0" w:type="auto"/>
            <w:tcBorders>
              <w:top w:val="single" w:sz="6" w:space="0" w:color="auto"/>
              <w:left w:val="single" w:sz="6" w:space="0" w:color="auto"/>
              <w:bottom w:val="single" w:sz="6" w:space="0" w:color="auto"/>
              <w:right w:val="single" w:sz="6" w:space="0" w:color="auto"/>
            </w:tcBorders>
            <w:shd w:val="clear" w:color="auto" w:fill="D9EAF7"/>
            <w:vAlign w:val="center"/>
            <w:hideMark/>
          </w:tcPr>
          <w:p w14:paraId="5EB849EA" w14:textId="77777777" w:rsidR="00A764F0" w:rsidRPr="00FA334F" w:rsidRDefault="00A764F0">
            <w:pPr>
              <w:rPr>
                <w:rFonts w:ascii="Poppins" w:hAnsi="Poppins" w:cs="Poppins"/>
              </w:rPr>
            </w:pPr>
            <w:r w:rsidRPr="00FA334F">
              <w:rPr>
                <w:rFonts w:ascii="Poppins" w:hAnsi="Poppins" w:cs="Poppins"/>
                <w:b/>
                <w:bCs/>
              </w:rPr>
              <w:t>Key features</w:t>
            </w:r>
          </w:p>
        </w:tc>
        <w:tc>
          <w:tcPr>
            <w:tcW w:w="0" w:type="auto"/>
            <w:tcBorders>
              <w:top w:val="single" w:sz="6" w:space="0" w:color="auto"/>
              <w:left w:val="single" w:sz="6" w:space="0" w:color="auto"/>
              <w:bottom w:val="single" w:sz="6" w:space="0" w:color="auto"/>
              <w:right w:val="single" w:sz="6" w:space="0" w:color="auto"/>
            </w:tcBorders>
            <w:shd w:val="clear" w:color="auto" w:fill="D9EAF7"/>
            <w:vAlign w:val="center"/>
            <w:hideMark/>
          </w:tcPr>
          <w:p w14:paraId="5EF87757" w14:textId="77777777" w:rsidR="00A764F0" w:rsidRPr="00FA334F" w:rsidRDefault="00A764F0">
            <w:pPr>
              <w:rPr>
                <w:rFonts w:ascii="Poppins" w:hAnsi="Poppins" w:cs="Poppins"/>
              </w:rPr>
            </w:pPr>
            <w:r w:rsidRPr="00FA334F">
              <w:rPr>
                <w:rFonts w:ascii="Poppins" w:hAnsi="Poppins" w:cs="Poppins"/>
                <w:b/>
                <w:bCs/>
              </w:rPr>
              <w:t>Illustrative APR</w:t>
            </w:r>
          </w:p>
        </w:tc>
        <w:tc>
          <w:tcPr>
            <w:tcW w:w="0" w:type="auto"/>
            <w:tcBorders>
              <w:top w:val="single" w:sz="6" w:space="0" w:color="auto"/>
              <w:left w:val="single" w:sz="6" w:space="0" w:color="auto"/>
              <w:bottom w:val="single" w:sz="6" w:space="0" w:color="auto"/>
              <w:right w:val="single" w:sz="6" w:space="0" w:color="auto"/>
            </w:tcBorders>
            <w:shd w:val="clear" w:color="auto" w:fill="D9EAF7"/>
            <w:vAlign w:val="center"/>
            <w:hideMark/>
          </w:tcPr>
          <w:p w14:paraId="7D071C91" w14:textId="77777777" w:rsidR="00A764F0" w:rsidRPr="00FA334F" w:rsidRDefault="00A764F0">
            <w:pPr>
              <w:rPr>
                <w:rFonts w:ascii="Poppins" w:hAnsi="Poppins" w:cs="Poppins"/>
              </w:rPr>
            </w:pPr>
            <w:r w:rsidRPr="00FA334F">
              <w:rPr>
                <w:rFonts w:ascii="Poppins" w:hAnsi="Poppins" w:cs="Poppins"/>
                <w:b/>
                <w:bCs/>
              </w:rPr>
              <w:t>Total amount payable</w:t>
            </w:r>
          </w:p>
        </w:tc>
        <w:tc>
          <w:tcPr>
            <w:tcW w:w="1378" w:type="pct"/>
            <w:tcBorders>
              <w:top w:val="single" w:sz="6" w:space="0" w:color="auto"/>
              <w:left w:val="single" w:sz="6" w:space="0" w:color="auto"/>
              <w:bottom w:val="single" w:sz="6" w:space="0" w:color="auto"/>
              <w:right w:val="single" w:sz="6" w:space="0" w:color="auto"/>
            </w:tcBorders>
            <w:shd w:val="clear" w:color="auto" w:fill="D9EAF7"/>
            <w:vAlign w:val="center"/>
            <w:hideMark/>
          </w:tcPr>
          <w:p w14:paraId="14DFF052" w14:textId="77777777" w:rsidR="00A764F0" w:rsidRPr="00FA334F" w:rsidRDefault="00A764F0">
            <w:pPr>
              <w:rPr>
                <w:rFonts w:ascii="Poppins" w:hAnsi="Poppins" w:cs="Poppins"/>
              </w:rPr>
            </w:pPr>
            <w:r w:rsidRPr="00FA334F">
              <w:rPr>
                <w:rFonts w:ascii="Poppins" w:hAnsi="Poppins" w:cs="Poppins"/>
                <w:b/>
                <w:bCs/>
              </w:rPr>
              <w:t>What this means for the customer</w:t>
            </w:r>
          </w:p>
        </w:tc>
      </w:tr>
      <w:tr w:rsidR="00A764F0" w:rsidRPr="00FA334F" w14:paraId="122B7947" w14:textId="77777777" w:rsidTr="0024331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749EEEA0" w14:textId="606F78EE" w:rsidR="00A764F0" w:rsidRPr="008C55E3" w:rsidRDefault="008C55E3">
            <w:pPr>
              <w:rPr>
                <w:rFonts w:ascii="Poppins" w:hAnsi="Poppins" w:cs="Poppins"/>
                <w:b/>
                <w:bCs/>
              </w:rPr>
            </w:pPr>
            <w:r w:rsidRPr="008C55E3">
              <w:rPr>
                <w:rFonts w:ascii="Poppins" w:hAnsi="Poppins" w:cs="Poppins"/>
                <w:b/>
                <w:bCs/>
              </w:rPr>
              <w:lastRenderedPageBreak/>
              <w:t>Base case – equal capital instalments over a 5-year term</w:t>
            </w:r>
          </w:p>
        </w:tc>
        <w:tc>
          <w:tcPr>
            <w:tcW w:w="0" w:type="auto"/>
            <w:tcBorders>
              <w:top w:val="single" w:sz="6" w:space="0" w:color="auto"/>
              <w:left w:val="single" w:sz="6" w:space="0" w:color="auto"/>
              <w:bottom w:val="single" w:sz="6" w:space="0" w:color="auto"/>
              <w:right w:val="single" w:sz="6" w:space="0" w:color="auto"/>
            </w:tcBorders>
            <w:vAlign w:val="center"/>
            <w:hideMark/>
          </w:tcPr>
          <w:p w14:paraId="10356970" w14:textId="4459D374" w:rsidR="00A764F0" w:rsidRPr="00FA334F" w:rsidRDefault="00683A4E">
            <w:pPr>
              <w:rPr>
                <w:rFonts w:ascii="Poppins" w:hAnsi="Poppins" w:cs="Poppins"/>
              </w:rPr>
            </w:pPr>
            <w:r w:rsidRPr="00FA334F">
              <w:rPr>
                <w:rFonts w:ascii="Poppins" w:hAnsi="Poppins" w:cs="Poppins"/>
              </w:rPr>
              <w:t>COD</w:t>
            </w:r>
            <w:r>
              <w:rPr>
                <w:rFonts w:ascii="Poppins" w:hAnsi="Poppins" w:cs="Poppins"/>
              </w:rPr>
              <w:t xml:space="preserve"> is achieved and</w:t>
            </w:r>
            <w:r w:rsidRPr="00FA334F">
              <w:rPr>
                <w:rFonts w:ascii="Poppins" w:hAnsi="Poppins" w:cs="Poppins"/>
              </w:rPr>
              <w:t xml:space="preserve"> first repayment</w:t>
            </w:r>
            <w:r>
              <w:rPr>
                <w:rFonts w:ascii="Poppins" w:hAnsi="Poppins" w:cs="Poppins"/>
              </w:rPr>
              <w:t xml:space="preserve"> starting</w:t>
            </w:r>
            <w:r w:rsidRPr="00FA334F">
              <w:rPr>
                <w:rFonts w:ascii="Poppins" w:hAnsi="Poppins" w:cs="Poppins"/>
              </w:rPr>
              <w:t xml:space="preserve"> 9 months after drawdown, with equal capital repayments over the remaining term.</w:t>
            </w:r>
          </w:p>
        </w:tc>
        <w:tc>
          <w:tcPr>
            <w:tcW w:w="0" w:type="auto"/>
            <w:tcBorders>
              <w:top w:val="single" w:sz="6" w:space="0" w:color="auto"/>
              <w:left w:val="single" w:sz="6" w:space="0" w:color="auto"/>
              <w:bottom w:val="single" w:sz="6" w:space="0" w:color="auto"/>
              <w:right w:val="single" w:sz="6" w:space="0" w:color="auto"/>
            </w:tcBorders>
            <w:vAlign w:val="center"/>
            <w:hideMark/>
          </w:tcPr>
          <w:p w14:paraId="6C1AA428" w14:textId="5B237E82" w:rsidR="00A764F0" w:rsidRPr="00FA334F" w:rsidRDefault="00A764F0">
            <w:pPr>
              <w:rPr>
                <w:rFonts w:ascii="Poppins" w:hAnsi="Poppins" w:cs="Poppins"/>
              </w:rPr>
            </w:pPr>
            <w:r w:rsidRPr="00FA334F">
              <w:rPr>
                <w:rFonts w:ascii="Poppins" w:hAnsi="Poppins" w:cs="Poppins"/>
              </w:rPr>
              <w:t>Approximately 3.</w:t>
            </w:r>
            <w:r w:rsidR="00683A4E">
              <w:rPr>
                <w:rFonts w:ascii="Poppins" w:hAnsi="Poppins" w:cs="Poppins"/>
              </w:rPr>
              <w:t>7</w:t>
            </w:r>
            <w:r w:rsidRPr="00FA334F">
              <w:rPr>
                <w:rFonts w:ascii="Poppins" w:hAnsi="Poppins" w:cs="Poppins"/>
              </w:rPr>
              <w:t>%</w:t>
            </w:r>
          </w:p>
        </w:tc>
        <w:tc>
          <w:tcPr>
            <w:tcW w:w="0" w:type="auto"/>
            <w:tcBorders>
              <w:top w:val="single" w:sz="6" w:space="0" w:color="auto"/>
              <w:left w:val="single" w:sz="6" w:space="0" w:color="auto"/>
              <w:bottom w:val="single" w:sz="6" w:space="0" w:color="auto"/>
              <w:right w:val="single" w:sz="6" w:space="0" w:color="auto"/>
            </w:tcBorders>
            <w:vAlign w:val="center"/>
            <w:hideMark/>
          </w:tcPr>
          <w:p w14:paraId="551894C1" w14:textId="2ED94AD8" w:rsidR="00A764F0" w:rsidRPr="00FA334F" w:rsidRDefault="00A764F0">
            <w:pPr>
              <w:rPr>
                <w:rFonts w:ascii="Poppins" w:hAnsi="Poppins" w:cs="Poppins"/>
              </w:rPr>
            </w:pPr>
            <w:r w:rsidRPr="00FA334F">
              <w:rPr>
                <w:rFonts w:ascii="Poppins" w:hAnsi="Poppins" w:cs="Poppins"/>
              </w:rPr>
              <w:t>Approximately £111,</w:t>
            </w:r>
            <w:r w:rsidR="00683A4E">
              <w:rPr>
                <w:rFonts w:ascii="Poppins" w:hAnsi="Poppins" w:cs="Poppins"/>
              </w:rPr>
              <w:t>111</w:t>
            </w:r>
          </w:p>
        </w:tc>
        <w:tc>
          <w:tcPr>
            <w:tcW w:w="1378" w:type="pct"/>
            <w:tcBorders>
              <w:top w:val="single" w:sz="6" w:space="0" w:color="auto"/>
              <w:left w:val="single" w:sz="6" w:space="0" w:color="auto"/>
              <w:bottom w:val="single" w:sz="6" w:space="0" w:color="auto"/>
              <w:right w:val="single" w:sz="6" w:space="0" w:color="auto"/>
            </w:tcBorders>
            <w:vAlign w:val="center"/>
            <w:hideMark/>
          </w:tcPr>
          <w:p w14:paraId="2B0FA4A1" w14:textId="2965DCE2" w:rsidR="00A764F0" w:rsidRPr="00FA334F" w:rsidRDefault="00A764F0">
            <w:pPr>
              <w:rPr>
                <w:rFonts w:ascii="Poppins" w:hAnsi="Poppins" w:cs="Poppins"/>
              </w:rPr>
            </w:pPr>
            <w:r w:rsidRPr="00FA334F">
              <w:rPr>
                <w:rFonts w:ascii="Poppins" w:hAnsi="Poppins" w:cs="Poppins"/>
              </w:rPr>
              <w:t xml:space="preserve">This scenario shows the expected cost where the project reaches completion on </w:t>
            </w:r>
            <w:proofErr w:type="gramStart"/>
            <w:r w:rsidRPr="00FA334F">
              <w:rPr>
                <w:rFonts w:ascii="Poppins" w:hAnsi="Poppins" w:cs="Poppins"/>
              </w:rPr>
              <w:t>time</w:t>
            </w:r>
            <w:proofErr w:type="gramEnd"/>
            <w:r w:rsidRPr="00FA334F">
              <w:rPr>
                <w:rFonts w:ascii="Poppins" w:hAnsi="Poppins" w:cs="Poppins"/>
              </w:rPr>
              <w:t xml:space="preserve"> and the borrower repays capital </w:t>
            </w:r>
            <w:r w:rsidR="00AC226C">
              <w:rPr>
                <w:rFonts w:ascii="Poppins" w:hAnsi="Poppins" w:cs="Poppins"/>
              </w:rPr>
              <w:t>quarterly on an equal basis</w:t>
            </w:r>
            <w:r w:rsidRPr="00FA334F">
              <w:rPr>
                <w:rFonts w:ascii="Poppins" w:hAnsi="Poppins" w:cs="Poppins"/>
              </w:rPr>
              <w:t xml:space="preserve">. The APR is relatively low because the loan has an initial interest-free period and the </w:t>
            </w:r>
            <w:r w:rsidR="00EF30AE">
              <w:rPr>
                <w:rFonts w:ascii="Poppins" w:hAnsi="Poppins" w:cs="Poppins"/>
              </w:rPr>
              <w:t xml:space="preserve">loan </w:t>
            </w:r>
            <w:r w:rsidRPr="00FA334F">
              <w:rPr>
                <w:rFonts w:ascii="Poppins" w:hAnsi="Poppins" w:cs="Poppins"/>
              </w:rPr>
              <w:t>balance reduces before the higher interest rate applies.</w:t>
            </w:r>
          </w:p>
        </w:tc>
      </w:tr>
      <w:tr w:rsidR="005518DE" w:rsidRPr="00FA334F" w14:paraId="1D95430C" w14:textId="77777777" w:rsidTr="0024331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28D84288" w14:textId="5338A442" w:rsidR="005518DE" w:rsidRPr="00FA334F" w:rsidRDefault="000A2122" w:rsidP="005518DE">
            <w:pPr>
              <w:rPr>
                <w:rFonts w:ascii="Poppins" w:hAnsi="Poppins" w:cs="Poppins"/>
              </w:rPr>
            </w:pPr>
            <w:r w:rsidRPr="000A2122">
              <w:rPr>
                <w:rFonts w:ascii="Poppins" w:hAnsi="Poppins" w:cs="Poppins"/>
                <w:b/>
                <w:bCs/>
              </w:rPr>
              <w:t xml:space="preserve">Balloon scenario – </w:t>
            </w:r>
            <w:proofErr w:type="gramStart"/>
            <w:r w:rsidRPr="000A2122">
              <w:rPr>
                <w:rFonts w:ascii="Poppins" w:hAnsi="Poppins" w:cs="Poppins"/>
                <w:b/>
                <w:bCs/>
              </w:rPr>
              <w:t>5 year</w:t>
            </w:r>
            <w:proofErr w:type="gramEnd"/>
            <w:r w:rsidRPr="000A2122">
              <w:rPr>
                <w:rFonts w:ascii="Poppins" w:hAnsi="Poppins" w:cs="Poppins"/>
                <w:b/>
                <w:bCs/>
              </w:rPr>
              <w:t xml:space="preserve"> loan, repayments amortised over 10 years with final bullet repayment in year 5</w:t>
            </w:r>
            <w:r>
              <w:rPr>
                <w:rFonts w:ascii="Poppins" w:hAnsi="Poppins" w:cs="Poppins"/>
                <w:b/>
                <w:bCs/>
              </w:rPr>
              <w:t>.</w:t>
            </w:r>
          </w:p>
        </w:tc>
        <w:tc>
          <w:tcPr>
            <w:tcW w:w="0" w:type="auto"/>
            <w:tcBorders>
              <w:top w:val="single" w:sz="6" w:space="0" w:color="auto"/>
              <w:left w:val="single" w:sz="6" w:space="0" w:color="auto"/>
              <w:bottom w:val="single" w:sz="6" w:space="0" w:color="auto"/>
              <w:right w:val="single" w:sz="6" w:space="0" w:color="auto"/>
            </w:tcBorders>
            <w:vAlign w:val="center"/>
            <w:hideMark/>
          </w:tcPr>
          <w:p w14:paraId="0B7D158E" w14:textId="3AF3B82B" w:rsidR="005518DE" w:rsidRPr="009E4BB3" w:rsidRDefault="000956C8" w:rsidP="009E4BB3">
            <w:pPr>
              <w:rPr>
                <w:rFonts w:ascii="Poppins" w:hAnsi="Poppins" w:cs="Poppins"/>
                <w:kern w:val="2"/>
                <w:lang w:eastAsia="en-GB"/>
                <w14:ligatures w14:val="standardContextual"/>
              </w:rPr>
            </w:pPr>
            <w:r w:rsidRPr="000956C8">
              <w:rPr>
                <w:rFonts w:ascii="Poppins" w:hAnsi="Poppins" w:cs="Poppins"/>
              </w:rPr>
              <w:t>Capital and interest payments after COD, with the remaining capital balance of £52,600 being repaid at maturity as a final balloon payment plus any outstanding interest.</w:t>
            </w:r>
          </w:p>
        </w:tc>
        <w:tc>
          <w:tcPr>
            <w:tcW w:w="0" w:type="auto"/>
            <w:tcBorders>
              <w:top w:val="single" w:sz="6" w:space="0" w:color="auto"/>
              <w:left w:val="single" w:sz="6" w:space="0" w:color="auto"/>
              <w:bottom w:val="single" w:sz="6" w:space="0" w:color="auto"/>
              <w:right w:val="single" w:sz="6" w:space="0" w:color="auto"/>
            </w:tcBorders>
            <w:vAlign w:val="center"/>
            <w:hideMark/>
          </w:tcPr>
          <w:p w14:paraId="58B09A43" w14:textId="1AF5BA1C" w:rsidR="005518DE" w:rsidRPr="00FA334F" w:rsidRDefault="005518DE" w:rsidP="005518DE">
            <w:pPr>
              <w:rPr>
                <w:rFonts w:ascii="Poppins" w:hAnsi="Poppins" w:cs="Poppins"/>
              </w:rPr>
            </w:pPr>
            <w:r w:rsidRPr="00FA334F">
              <w:rPr>
                <w:rFonts w:ascii="Poppins" w:hAnsi="Poppins" w:cs="Poppins"/>
              </w:rPr>
              <w:t>Approximately 5.</w:t>
            </w:r>
            <w:r w:rsidR="00A22918">
              <w:rPr>
                <w:rFonts w:ascii="Poppins" w:hAnsi="Poppins" w:cs="Poppins"/>
              </w:rPr>
              <w:t>1</w:t>
            </w:r>
            <w:r w:rsidRPr="00FA334F">
              <w:rPr>
                <w:rFonts w:ascii="Poppins" w:hAnsi="Poppins" w:cs="Poppins"/>
              </w:rPr>
              <w:t>%</w:t>
            </w:r>
          </w:p>
        </w:tc>
        <w:tc>
          <w:tcPr>
            <w:tcW w:w="0" w:type="auto"/>
            <w:tcBorders>
              <w:top w:val="single" w:sz="6" w:space="0" w:color="auto"/>
              <w:left w:val="single" w:sz="6" w:space="0" w:color="auto"/>
              <w:bottom w:val="single" w:sz="6" w:space="0" w:color="auto"/>
              <w:right w:val="single" w:sz="6" w:space="0" w:color="auto"/>
            </w:tcBorders>
            <w:vAlign w:val="center"/>
            <w:hideMark/>
          </w:tcPr>
          <w:p w14:paraId="0A1AE697" w14:textId="1AC78C3B" w:rsidR="005518DE" w:rsidRPr="00FA334F" w:rsidRDefault="005518DE" w:rsidP="005518DE">
            <w:pPr>
              <w:rPr>
                <w:rFonts w:ascii="Poppins" w:hAnsi="Poppins" w:cs="Poppins"/>
              </w:rPr>
            </w:pPr>
            <w:r w:rsidRPr="00FA334F">
              <w:rPr>
                <w:rFonts w:ascii="Poppins" w:hAnsi="Poppins" w:cs="Poppins"/>
              </w:rPr>
              <w:t>Approximately £1</w:t>
            </w:r>
            <w:r w:rsidR="00CD4878">
              <w:rPr>
                <w:rFonts w:ascii="Poppins" w:hAnsi="Poppins" w:cs="Poppins"/>
              </w:rPr>
              <w:t>21,</w:t>
            </w:r>
            <w:r w:rsidR="000956C8">
              <w:rPr>
                <w:rFonts w:ascii="Poppins" w:hAnsi="Poppins" w:cs="Poppins"/>
              </w:rPr>
              <w:t>053</w:t>
            </w:r>
          </w:p>
        </w:tc>
        <w:tc>
          <w:tcPr>
            <w:tcW w:w="1378" w:type="pct"/>
            <w:tcBorders>
              <w:top w:val="single" w:sz="6" w:space="0" w:color="auto"/>
              <w:left w:val="single" w:sz="6" w:space="0" w:color="auto"/>
              <w:bottom w:val="single" w:sz="6" w:space="0" w:color="auto"/>
              <w:right w:val="single" w:sz="6" w:space="0" w:color="auto"/>
            </w:tcBorders>
            <w:vAlign w:val="center"/>
            <w:hideMark/>
          </w:tcPr>
          <w:p w14:paraId="450CF80F" w14:textId="5E8FFA40" w:rsidR="005518DE" w:rsidRPr="009E4BB3" w:rsidRDefault="009E4BB3" w:rsidP="009E4BB3">
            <w:pPr>
              <w:rPr>
                <w:rFonts w:ascii="Poppins" w:hAnsi="Poppins" w:cs="Poppins"/>
                <w:kern w:val="2"/>
                <w:lang w:eastAsia="en-GB"/>
                <w14:ligatures w14:val="standardContextual"/>
              </w:rPr>
            </w:pPr>
            <w:r>
              <w:rPr>
                <w:rFonts w:ascii="Poppins" w:hAnsi="Poppins" w:cs="Poppins"/>
              </w:rPr>
              <w:t xml:space="preserve">This scenario results in a higher total amount payable because more of the capital balance remains outstanding for longer and therefore incurs more interest. Customers should understand that a balloon structure can reduce regular capital repayments by modelling repayments over a longer period. However, it increases the final repayment and total interest cost, </w:t>
            </w:r>
            <w:r>
              <w:rPr>
                <w:rFonts w:ascii="Poppins" w:hAnsi="Poppins" w:cs="Poppins"/>
              </w:rPr>
              <w:lastRenderedPageBreak/>
              <w:t>so applicants would need a clear and credible strategy for meeting the final balloon payment.</w:t>
            </w:r>
          </w:p>
        </w:tc>
      </w:tr>
      <w:tr w:rsidR="004B0968" w:rsidRPr="00FA334F" w14:paraId="6FD8570B" w14:textId="77777777" w:rsidTr="0024331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7FC996B5" w14:textId="7FB09A5B" w:rsidR="004B0968" w:rsidRPr="00FA334F" w:rsidRDefault="004B0968" w:rsidP="004B0968">
            <w:pPr>
              <w:rPr>
                <w:rFonts w:ascii="Poppins" w:hAnsi="Poppins" w:cs="Poppins"/>
              </w:rPr>
            </w:pPr>
            <w:r w:rsidRPr="00FA334F">
              <w:rPr>
                <w:rFonts w:ascii="Poppins" w:hAnsi="Poppins" w:cs="Poppins"/>
                <w:b/>
                <w:bCs/>
              </w:rPr>
              <w:lastRenderedPageBreak/>
              <w:t>Faster repayment scenario – lower cost</w:t>
            </w:r>
          </w:p>
        </w:tc>
        <w:tc>
          <w:tcPr>
            <w:tcW w:w="0" w:type="auto"/>
            <w:tcBorders>
              <w:top w:val="single" w:sz="6" w:space="0" w:color="auto"/>
              <w:left w:val="single" w:sz="6" w:space="0" w:color="auto"/>
              <w:bottom w:val="single" w:sz="6" w:space="0" w:color="auto"/>
              <w:right w:val="single" w:sz="6" w:space="0" w:color="auto"/>
            </w:tcBorders>
            <w:vAlign w:val="center"/>
            <w:hideMark/>
          </w:tcPr>
          <w:p w14:paraId="73A7A78B" w14:textId="5BC3A9F6" w:rsidR="004B0968" w:rsidRPr="00FA334F" w:rsidRDefault="004B0968" w:rsidP="004B0968">
            <w:pPr>
              <w:rPr>
                <w:rFonts w:ascii="Poppins" w:hAnsi="Poppins" w:cs="Poppins"/>
              </w:rPr>
            </w:pPr>
            <w:r>
              <w:rPr>
                <w:rFonts w:ascii="Poppins" w:hAnsi="Poppins" w:cs="Poppins"/>
              </w:rPr>
              <w:t>Loan repayment set to be paid off within 18</w:t>
            </w:r>
            <w:r w:rsidR="003A670E">
              <w:rPr>
                <w:rFonts w:ascii="Poppins" w:hAnsi="Poppins" w:cs="Poppins"/>
              </w:rPr>
              <w:t xml:space="preserve"> </w:t>
            </w:r>
            <w:r>
              <w:rPr>
                <w:rFonts w:ascii="Poppins" w:hAnsi="Poppins" w:cs="Poppins"/>
              </w:rPr>
              <w:t>months</w:t>
            </w:r>
            <w:r w:rsidRPr="00FA334F">
              <w:rPr>
                <w:rFonts w:ascii="Poppins" w:hAnsi="Poppins" w:cs="Poppins"/>
              </w:rPr>
              <w:t>.</w:t>
            </w:r>
          </w:p>
        </w:tc>
        <w:tc>
          <w:tcPr>
            <w:tcW w:w="0" w:type="auto"/>
            <w:tcBorders>
              <w:top w:val="single" w:sz="6" w:space="0" w:color="auto"/>
              <w:left w:val="single" w:sz="6" w:space="0" w:color="auto"/>
              <w:bottom w:val="single" w:sz="6" w:space="0" w:color="auto"/>
              <w:right w:val="single" w:sz="6" w:space="0" w:color="auto"/>
            </w:tcBorders>
            <w:vAlign w:val="center"/>
            <w:hideMark/>
          </w:tcPr>
          <w:p w14:paraId="01D38133" w14:textId="53F80B4B" w:rsidR="004B0968" w:rsidRPr="00FA334F" w:rsidRDefault="004B0968" w:rsidP="004B0968">
            <w:pPr>
              <w:rPr>
                <w:rFonts w:ascii="Poppins" w:hAnsi="Poppins" w:cs="Poppins"/>
              </w:rPr>
            </w:pPr>
            <w:r>
              <w:rPr>
                <w:rFonts w:ascii="Poppins" w:hAnsi="Poppins" w:cs="Poppins"/>
              </w:rPr>
              <w:t xml:space="preserve">Approximately </w:t>
            </w:r>
            <w:r w:rsidRPr="00FA334F">
              <w:rPr>
                <w:rFonts w:ascii="Poppins" w:hAnsi="Poppins" w:cs="Poppins"/>
              </w:rPr>
              <w:t xml:space="preserve">0% </w:t>
            </w:r>
          </w:p>
        </w:tc>
        <w:tc>
          <w:tcPr>
            <w:tcW w:w="0" w:type="auto"/>
            <w:tcBorders>
              <w:top w:val="single" w:sz="6" w:space="0" w:color="auto"/>
              <w:left w:val="single" w:sz="6" w:space="0" w:color="auto"/>
              <w:bottom w:val="single" w:sz="6" w:space="0" w:color="auto"/>
              <w:right w:val="single" w:sz="6" w:space="0" w:color="auto"/>
            </w:tcBorders>
            <w:vAlign w:val="center"/>
            <w:hideMark/>
          </w:tcPr>
          <w:p w14:paraId="2A104530" w14:textId="4D306C97" w:rsidR="004B0968" w:rsidRPr="00FA334F" w:rsidRDefault="004B0968" w:rsidP="004B0968">
            <w:pPr>
              <w:rPr>
                <w:rFonts w:ascii="Poppins" w:hAnsi="Poppins" w:cs="Poppins"/>
              </w:rPr>
            </w:pPr>
            <w:r w:rsidRPr="00FA334F">
              <w:rPr>
                <w:rFonts w:ascii="Poppins" w:hAnsi="Poppins" w:cs="Poppins"/>
              </w:rPr>
              <w:t>£100,000</w:t>
            </w:r>
          </w:p>
        </w:tc>
        <w:tc>
          <w:tcPr>
            <w:tcW w:w="1378" w:type="pct"/>
            <w:tcBorders>
              <w:top w:val="single" w:sz="6" w:space="0" w:color="auto"/>
              <w:left w:val="single" w:sz="6" w:space="0" w:color="auto"/>
              <w:bottom w:val="single" w:sz="6" w:space="0" w:color="auto"/>
              <w:right w:val="single" w:sz="6" w:space="0" w:color="auto"/>
            </w:tcBorders>
            <w:vAlign w:val="center"/>
            <w:hideMark/>
          </w:tcPr>
          <w:p w14:paraId="2946A394" w14:textId="77777777" w:rsidR="004B0968" w:rsidRPr="00FA334F" w:rsidRDefault="004B0968" w:rsidP="004B0968">
            <w:pPr>
              <w:rPr>
                <w:rFonts w:ascii="Poppins" w:hAnsi="Poppins" w:cs="Poppins"/>
              </w:rPr>
            </w:pPr>
            <w:r>
              <w:rPr>
                <w:rFonts w:ascii="Poppins" w:hAnsi="Poppins" w:cs="Poppins"/>
              </w:rPr>
              <w:t>Loan is fully repaid during the interest free period</w:t>
            </w:r>
            <w:r w:rsidRPr="00FA334F">
              <w:rPr>
                <w:rFonts w:ascii="Poppins" w:hAnsi="Poppins" w:cs="Poppins"/>
              </w:rPr>
              <w:t>. In this case, the total amount repayable would be equal to the amount borrowed.</w:t>
            </w:r>
          </w:p>
          <w:p w14:paraId="4D3B1D1A" w14:textId="55C2B27F" w:rsidR="004B0968" w:rsidRPr="00FA334F" w:rsidRDefault="004B0968" w:rsidP="004B0968">
            <w:pPr>
              <w:rPr>
                <w:rFonts w:ascii="Poppins" w:hAnsi="Poppins" w:cs="Poppins"/>
              </w:rPr>
            </w:pPr>
          </w:p>
        </w:tc>
      </w:tr>
    </w:tbl>
    <w:p w14:paraId="5332FB3E" w14:textId="69F7BFB8" w:rsidR="00A764F0" w:rsidRPr="00FA334F" w:rsidRDefault="00A764F0">
      <w:pPr>
        <w:rPr>
          <w:rFonts w:ascii="Poppins" w:hAnsi="Poppins" w:cs="Poppins"/>
        </w:rPr>
      </w:pPr>
      <w:r w:rsidRPr="00FA334F">
        <w:rPr>
          <w:rFonts w:ascii="Poppins" w:hAnsi="Poppins" w:cs="Poppins"/>
          <w:b/>
          <w:bCs/>
        </w:rPr>
        <w:t>Important note:</w:t>
      </w:r>
      <w:r w:rsidRPr="00FA334F">
        <w:rPr>
          <w:rFonts w:ascii="Poppins" w:hAnsi="Poppins" w:cs="Poppins"/>
        </w:rPr>
        <w:t xml:space="preserve"> </w:t>
      </w:r>
      <w:r w:rsidR="00724F7A" w:rsidRPr="00FA334F">
        <w:rPr>
          <w:rFonts w:ascii="Poppins" w:hAnsi="Poppins" w:cs="Poppins"/>
        </w:rPr>
        <w:t>These scenarios are illustrative and are intended to show how the cost of credit may vary depending on repayment profile</w:t>
      </w:r>
      <w:r w:rsidR="00724F7A">
        <w:rPr>
          <w:rFonts w:ascii="Poppins" w:hAnsi="Poppins" w:cs="Poppins"/>
        </w:rPr>
        <w:t xml:space="preserve"> and</w:t>
      </w:r>
      <w:r w:rsidR="00724F7A" w:rsidRPr="00FA334F">
        <w:rPr>
          <w:rFonts w:ascii="Poppins" w:hAnsi="Poppins" w:cs="Poppins"/>
        </w:rPr>
        <w:t xml:space="preserve"> use of a balloon repayment. The actual APR, total amount payable and repayment schedule will be confirmed in the personalised illustration provided to the borrower.</w:t>
      </w:r>
    </w:p>
    <w:p w14:paraId="749E0251" w14:textId="0460EB61" w:rsidR="00E31A73" w:rsidRPr="00FA334F" w:rsidRDefault="009C5B4E" w:rsidP="00E31A73">
      <w:pPr>
        <w:pStyle w:val="Heading2"/>
        <w:rPr>
          <w:kern w:val="2"/>
          <w:lang w:eastAsia="en-GB"/>
          <w14:ligatures w14:val="standardContextual"/>
        </w:rPr>
      </w:pPr>
      <w:r>
        <w:t>9</w:t>
      </w:r>
      <w:r w:rsidR="00E31A73">
        <w:t>. Grants</w:t>
      </w:r>
      <w:r w:rsidR="005F45F0">
        <w:t>,</w:t>
      </w:r>
      <w:r w:rsidR="00E31A73">
        <w:t xml:space="preserve"> Subsidy</w:t>
      </w:r>
      <w:r w:rsidR="005F45F0">
        <w:t xml:space="preserve"> and Assessment</w:t>
      </w:r>
    </w:p>
    <w:tbl>
      <w:tblPr>
        <w:tblW w:w="5536" w:type="pct"/>
        <w:tblCellSpacing w:w="15" w:type="dxa"/>
        <w:tblCellMar>
          <w:top w:w="15" w:type="dxa"/>
          <w:left w:w="15" w:type="dxa"/>
          <w:bottom w:w="15" w:type="dxa"/>
          <w:right w:w="15" w:type="dxa"/>
        </w:tblCellMar>
        <w:tblLook w:val="04A0" w:firstRow="1" w:lastRow="0" w:firstColumn="1" w:lastColumn="0" w:noHBand="0" w:noVBand="1"/>
      </w:tblPr>
      <w:tblGrid>
        <w:gridCol w:w="2292"/>
        <w:gridCol w:w="7256"/>
      </w:tblGrid>
      <w:tr w:rsidR="00E31A73" w:rsidRPr="00FA334F" w14:paraId="7E847415" w14:textId="77777777" w:rsidTr="00B56E77">
        <w:trPr>
          <w:tblCellSpacing w:w="15" w:type="dxa"/>
        </w:trPr>
        <w:tc>
          <w:tcPr>
            <w:tcW w:w="1177" w:type="pct"/>
            <w:tcBorders>
              <w:top w:val="single" w:sz="6" w:space="0" w:color="auto"/>
              <w:left w:val="single" w:sz="6" w:space="0" w:color="auto"/>
              <w:bottom w:val="single" w:sz="6" w:space="0" w:color="auto"/>
              <w:right w:val="single" w:sz="6" w:space="0" w:color="auto"/>
            </w:tcBorders>
            <w:vAlign w:val="center"/>
            <w:hideMark/>
          </w:tcPr>
          <w:p w14:paraId="6CCBCCD7" w14:textId="7C4CAB2A" w:rsidR="00E31A73" w:rsidRPr="00FA334F" w:rsidRDefault="00E31A73" w:rsidP="00B56E77">
            <w:pPr>
              <w:rPr>
                <w:rFonts w:ascii="Poppins" w:hAnsi="Poppins" w:cs="Poppins"/>
                <w:kern w:val="2"/>
                <w:lang w:eastAsia="en-GB"/>
                <w14:ligatures w14:val="standardContextual"/>
              </w:rPr>
            </w:pPr>
            <w:r>
              <w:rPr>
                <w:rFonts w:ascii="Poppins" w:hAnsi="Poppins" w:cs="Poppins"/>
                <w:b/>
                <w:bCs/>
              </w:rPr>
              <w:t>Grants</w:t>
            </w:r>
            <w:r w:rsidR="009A3B7D">
              <w:rPr>
                <w:rFonts w:ascii="Poppins" w:hAnsi="Poppins" w:cs="Poppins"/>
                <w:b/>
                <w:bCs/>
              </w:rPr>
              <w:t xml:space="preserve"> (where applicable)</w:t>
            </w:r>
          </w:p>
        </w:tc>
        <w:tc>
          <w:tcPr>
            <w:tcW w:w="3777" w:type="pct"/>
            <w:tcBorders>
              <w:top w:val="single" w:sz="6" w:space="0" w:color="auto"/>
              <w:left w:val="single" w:sz="6" w:space="0" w:color="auto"/>
              <w:bottom w:val="single" w:sz="6" w:space="0" w:color="auto"/>
              <w:right w:val="single" w:sz="6" w:space="0" w:color="auto"/>
            </w:tcBorders>
            <w:vAlign w:val="center"/>
            <w:hideMark/>
          </w:tcPr>
          <w:p w14:paraId="470AA5B9" w14:textId="39E3AE0E" w:rsidR="00E31A73" w:rsidRPr="00FA334F" w:rsidRDefault="009A3B7D" w:rsidP="00B56E77">
            <w:pPr>
              <w:rPr>
                <w:rFonts w:ascii="Poppins" w:hAnsi="Poppins" w:cs="Poppins"/>
              </w:rPr>
            </w:pPr>
            <w:r w:rsidRPr="009A3B7D">
              <w:rPr>
                <w:rFonts w:ascii="Poppins" w:hAnsi="Poppins" w:cs="Poppins"/>
              </w:rPr>
              <w:t xml:space="preserve">You may also be offered a </w:t>
            </w:r>
            <w:r w:rsidR="00985E62">
              <w:rPr>
                <w:rFonts w:ascii="Poppins" w:hAnsi="Poppins" w:cs="Poppins"/>
              </w:rPr>
              <w:t xml:space="preserve">CARES </w:t>
            </w:r>
            <w:r w:rsidRPr="009A3B7D">
              <w:rPr>
                <w:rFonts w:ascii="Poppins" w:hAnsi="Poppins" w:cs="Poppins"/>
              </w:rPr>
              <w:t>grant alongside this loan. Any grant will be subject to a separate Grant Offer Letter with its own terms and conditions. Further details on how the grant and loan interact will be set out in your loan agreement and grant documentation.</w:t>
            </w:r>
          </w:p>
        </w:tc>
      </w:tr>
      <w:tr w:rsidR="00E31A73" w:rsidRPr="00FA334F" w14:paraId="7D555483" w14:textId="77777777" w:rsidTr="00B56E77">
        <w:trPr>
          <w:tblCellSpacing w:w="15" w:type="dxa"/>
        </w:trPr>
        <w:tc>
          <w:tcPr>
            <w:tcW w:w="1177" w:type="pct"/>
            <w:tcBorders>
              <w:top w:val="single" w:sz="6" w:space="0" w:color="auto"/>
              <w:left w:val="single" w:sz="6" w:space="0" w:color="auto"/>
              <w:bottom w:val="single" w:sz="6" w:space="0" w:color="auto"/>
              <w:right w:val="single" w:sz="6" w:space="0" w:color="auto"/>
            </w:tcBorders>
            <w:vAlign w:val="center"/>
            <w:hideMark/>
          </w:tcPr>
          <w:p w14:paraId="3A664D94" w14:textId="47400273" w:rsidR="00E31A73" w:rsidRPr="00FA334F" w:rsidRDefault="00E74C25" w:rsidP="00B56E77">
            <w:pPr>
              <w:rPr>
                <w:rFonts w:ascii="Poppins" w:hAnsi="Poppins" w:cs="Poppins"/>
              </w:rPr>
            </w:pPr>
            <w:r>
              <w:rPr>
                <w:rFonts w:ascii="Poppins" w:hAnsi="Poppins" w:cs="Poppins"/>
                <w:b/>
                <w:bCs/>
              </w:rPr>
              <w:t>Subsidy</w:t>
            </w:r>
          </w:p>
        </w:tc>
        <w:tc>
          <w:tcPr>
            <w:tcW w:w="3777" w:type="pct"/>
            <w:tcBorders>
              <w:top w:val="single" w:sz="6" w:space="0" w:color="auto"/>
              <w:left w:val="single" w:sz="6" w:space="0" w:color="auto"/>
              <w:bottom w:val="single" w:sz="6" w:space="0" w:color="auto"/>
              <w:right w:val="single" w:sz="6" w:space="0" w:color="auto"/>
            </w:tcBorders>
            <w:vAlign w:val="center"/>
            <w:hideMark/>
          </w:tcPr>
          <w:p w14:paraId="6B9DD494" w14:textId="2CE77430" w:rsidR="00A82C92" w:rsidRPr="00A82C92" w:rsidRDefault="00A82C92" w:rsidP="00A82C92">
            <w:pPr>
              <w:rPr>
                <w:rFonts w:ascii="Poppins" w:hAnsi="Poppins" w:cs="Poppins"/>
              </w:rPr>
            </w:pPr>
            <w:r w:rsidRPr="00A82C92">
              <w:rPr>
                <w:rFonts w:ascii="Poppins" w:hAnsi="Poppins" w:cs="Poppins"/>
              </w:rPr>
              <w:t>The CARES Construction Loan is a subsidised product. The value of the subsidy is calculated as the difference between the interest that would be payable on a comparable commercial loan and the interest payable under your CARES loan, over the term of the loan (referred to as “interest foregone”).</w:t>
            </w:r>
          </w:p>
          <w:p w14:paraId="20F11306" w14:textId="1B201BF7" w:rsidR="00A82C92" w:rsidRPr="00A82C92" w:rsidRDefault="00A82C92" w:rsidP="00A82C92">
            <w:pPr>
              <w:rPr>
                <w:rFonts w:ascii="Poppins" w:hAnsi="Poppins" w:cs="Poppins"/>
              </w:rPr>
            </w:pPr>
            <w:r w:rsidRPr="00A82C92">
              <w:rPr>
                <w:rFonts w:ascii="Poppins" w:hAnsi="Poppins" w:cs="Poppins"/>
              </w:rPr>
              <w:t xml:space="preserve">We will confirm the value of this subsidy in writing. The subsidy is provided under the Community and Renewable Energy Scheme </w:t>
            </w:r>
            <w:r w:rsidRPr="00A82C92">
              <w:rPr>
                <w:rFonts w:ascii="Poppins" w:hAnsi="Poppins" w:cs="Poppins"/>
              </w:rPr>
              <w:lastRenderedPageBreak/>
              <w:t xml:space="preserve">(CARES) Grant and Loan Scheme (SC11309). Further information is available on the Local Energy Scotland </w:t>
            </w:r>
            <w:hyperlink r:id="rId14" w:history="1">
              <w:r w:rsidRPr="00A82C92">
                <w:rPr>
                  <w:rStyle w:val="Hyperlink"/>
                  <w:rFonts w:ascii="Poppins" w:hAnsi="Poppins" w:cs="Poppins"/>
                </w:rPr>
                <w:t>website</w:t>
              </w:r>
            </w:hyperlink>
            <w:r w:rsidRPr="00A82C92">
              <w:rPr>
                <w:rFonts w:ascii="Poppins" w:hAnsi="Poppins" w:cs="Poppins"/>
              </w:rPr>
              <w:t>.</w:t>
            </w:r>
          </w:p>
          <w:p w14:paraId="01BAFBAA" w14:textId="5119F376" w:rsidR="00E31A73" w:rsidRPr="00FA334F" w:rsidRDefault="00E31A73" w:rsidP="00B56E77">
            <w:pPr>
              <w:rPr>
                <w:rFonts w:ascii="Poppins" w:hAnsi="Poppins" w:cs="Poppins"/>
              </w:rPr>
            </w:pPr>
          </w:p>
        </w:tc>
      </w:tr>
      <w:tr w:rsidR="00E31A73" w:rsidRPr="00FA334F" w14:paraId="7E191C2E" w14:textId="77777777" w:rsidTr="00B56E77">
        <w:trPr>
          <w:tblCellSpacing w:w="15" w:type="dxa"/>
        </w:trPr>
        <w:tc>
          <w:tcPr>
            <w:tcW w:w="1177" w:type="pct"/>
            <w:tcBorders>
              <w:top w:val="single" w:sz="6" w:space="0" w:color="auto"/>
              <w:left w:val="single" w:sz="6" w:space="0" w:color="auto"/>
              <w:bottom w:val="single" w:sz="6" w:space="0" w:color="auto"/>
              <w:right w:val="single" w:sz="6" w:space="0" w:color="auto"/>
            </w:tcBorders>
            <w:vAlign w:val="center"/>
            <w:hideMark/>
          </w:tcPr>
          <w:p w14:paraId="4D9828CB" w14:textId="77777777" w:rsidR="00E31A73" w:rsidRPr="00FA334F" w:rsidRDefault="00E31A73" w:rsidP="00B56E77">
            <w:pPr>
              <w:rPr>
                <w:rFonts w:ascii="Poppins" w:hAnsi="Poppins" w:cs="Poppins"/>
              </w:rPr>
            </w:pPr>
            <w:r w:rsidRPr="00FA334F">
              <w:rPr>
                <w:rFonts w:ascii="Poppins" w:hAnsi="Poppins" w:cs="Poppins"/>
                <w:b/>
                <w:bCs/>
              </w:rPr>
              <w:lastRenderedPageBreak/>
              <w:t>Project appraisal</w:t>
            </w:r>
          </w:p>
        </w:tc>
        <w:tc>
          <w:tcPr>
            <w:tcW w:w="3777" w:type="pct"/>
            <w:tcBorders>
              <w:top w:val="single" w:sz="6" w:space="0" w:color="auto"/>
              <w:left w:val="single" w:sz="6" w:space="0" w:color="auto"/>
              <w:bottom w:val="single" w:sz="6" w:space="0" w:color="auto"/>
              <w:right w:val="single" w:sz="6" w:space="0" w:color="auto"/>
            </w:tcBorders>
            <w:vAlign w:val="center"/>
            <w:hideMark/>
          </w:tcPr>
          <w:p w14:paraId="6161C03F" w14:textId="77777777" w:rsidR="00E31A73" w:rsidRPr="00FA334F" w:rsidRDefault="00E31A73" w:rsidP="00B56E77">
            <w:pPr>
              <w:rPr>
                <w:rFonts w:ascii="Poppins" w:hAnsi="Poppins" w:cs="Poppins"/>
              </w:rPr>
            </w:pPr>
            <w:r>
              <w:rPr>
                <w:rFonts w:ascii="Poppins" w:hAnsi="Poppins" w:cs="Poppins"/>
              </w:rPr>
              <w:t>We</w:t>
            </w:r>
            <w:r w:rsidRPr="00FA334F">
              <w:rPr>
                <w:rFonts w:ascii="Poppins" w:hAnsi="Poppins" w:cs="Poppins"/>
              </w:rPr>
              <w:t xml:space="preserve"> will review the project objectives, delivery timetable and delivery plan, including planning status, grid connection position and technical feasibility where relevant.</w:t>
            </w:r>
          </w:p>
        </w:tc>
      </w:tr>
      <w:tr w:rsidR="00E31A73" w:rsidRPr="00FA334F" w14:paraId="6CD1A059" w14:textId="77777777" w:rsidTr="00B56E77">
        <w:trPr>
          <w:tblCellSpacing w:w="15" w:type="dxa"/>
        </w:trPr>
        <w:tc>
          <w:tcPr>
            <w:tcW w:w="1177" w:type="pct"/>
            <w:tcBorders>
              <w:top w:val="single" w:sz="6" w:space="0" w:color="auto"/>
              <w:left w:val="single" w:sz="6" w:space="0" w:color="auto"/>
              <w:bottom w:val="single" w:sz="6" w:space="0" w:color="auto"/>
              <w:right w:val="single" w:sz="6" w:space="0" w:color="auto"/>
            </w:tcBorders>
            <w:vAlign w:val="center"/>
            <w:hideMark/>
          </w:tcPr>
          <w:p w14:paraId="245B151C" w14:textId="77777777" w:rsidR="00E31A73" w:rsidRPr="00FA334F" w:rsidRDefault="00E31A73" w:rsidP="00B56E77">
            <w:pPr>
              <w:rPr>
                <w:rFonts w:ascii="Poppins" w:hAnsi="Poppins" w:cs="Poppins"/>
              </w:rPr>
            </w:pPr>
            <w:r w:rsidRPr="00FA334F">
              <w:rPr>
                <w:rFonts w:ascii="Poppins" w:hAnsi="Poppins" w:cs="Poppins"/>
                <w:b/>
                <w:bCs/>
              </w:rPr>
              <w:t>Financial assessment</w:t>
            </w:r>
          </w:p>
        </w:tc>
        <w:tc>
          <w:tcPr>
            <w:tcW w:w="3777" w:type="pct"/>
            <w:tcBorders>
              <w:top w:val="single" w:sz="6" w:space="0" w:color="auto"/>
              <w:left w:val="single" w:sz="6" w:space="0" w:color="auto"/>
              <w:bottom w:val="single" w:sz="6" w:space="0" w:color="auto"/>
              <w:right w:val="single" w:sz="6" w:space="0" w:color="auto"/>
            </w:tcBorders>
            <w:vAlign w:val="center"/>
            <w:hideMark/>
          </w:tcPr>
          <w:p w14:paraId="5545AB83" w14:textId="77777777" w:rsidR="00E31A73" w:rsidRPr="00FA334F" w:rsidRDefault="00E31A73" w:rsidP="00B56E77">
            <w:pPr>
              <w:rPr>
                <w:rFonts w:ascii="Poppins" w:hAnsi="Poppins" w:cs="Poppins"/>
              </w:rPr>
            </w:pPr>
            <w:r>
              <w:rPr>
                <w:rFonts w:ascii="Poppins" w:hAnsi="Poppins" w:cs="Poppins"/>
              </w:rPr>
              <w:t>We</w:t>
            </w:r>
            <w:r w:rsidRPr="00FA334F">
              <w:rPr>
                <w:rFonts w:ascii="Poppins" w:hAnsi="Poppins" w:cs="Poppins"/>
              </w:rPr>
              <w:t xml:space="preserve"> will review project costs, funding structure, grants and match funding, financial forecasts and key assumptions. Sensitivity analysis may be used to test the impact of delays, cost overruns or revenue variation.</w:t>
            </w:r>
          </w:p>
        </w:tc>
      </w:tr>
      <w:tr w:rsidR="00E31A73" w:rsidRPr="00FA334F" w14:paraId="2C24CFA4" w14:textId="77777777" w:rsidTr="00B56E77">
        <w:trPr>
          <w:tblCellSpacing w:w="15" w:type="dxa"/>
        </w:trPr>
        <w:tc>
          <w:tcPr>
            <w:tcW w:w="1177" w:type="pct"/>
            <w:tcBorders>
              <w:top w:val="single" w:sz="6" w:space="0" w:color="auto"/>
              <w:left w:val="single" w:sz="6" w:space="0" w:color="auto"/>
              <w:bottom w:val="single" w:sz="6" w:space="0" w:color="auto"/>
              <w:right w:val="single" w:sz="6" w:space="0" w:color="auto"/>
            </w:tcBorders>
            <w:vAlign w:val="center"/>
            <w:hideMark/>
          </w:tcPr>
          <w:p w14:paraId="4101556B" w14:textId="77777777" w:rsidR="00E31A73" w:rsidRPr="00FA334F" w:rsidRDefault="00E31A73" w:rsidP="00B56E77">
            <w:pPr>
              <w:rPr>
                <w:rFonts w:ascii="Poppins" w:hAnsi="Poppins" w:cs="Poppins"/>
              </w:rPr>
            </w:pPr>
            <w:r w:rsidRPr="00FA334F">
              <w:rPr>
                <w:rFonts w:ascii="Poppins" w:hAnsi="Poppins" w:cs="Poppins"/>
                <w:b/>
                <w:bCs/>
              </w:rPr>
              <w:t>Credit and organisational review</w:t>
            </w:r>
          </w:p>
        </w:tc>
        <w:tc>
          <w:tcPr>
            <w:tcW w:w="3777" w:type="pct"/>
            <w:tcBorders>
              <w:top w:val="single" w:sz="6" w:space="0" w:color="auto"/>
              <w:left w:val="single" w:sz="6" w:space="0" w:color="auto"/>
              <w:bottom w:val="single" w:sz="6" w:space="0" w:color="auto"/>
              <w:right w:val="single" w:sz="6" w:space="0" w:color="auto"/>
            </w:tcBorders>
            <w:vAlign w:val="center"/>
            <w:hideMark/>
          </w:tcPr>
          <w:p w14:paraId="6B36B0AD" w14:textId="77777777" w:rsidR="00E31A73" w:rsidRPr="00FA334F" w:rsidRDefault="00E31A73" w:rsidP="00B56E77">
            <w:pPr>
              <w:rPr>
                <w:rFonts w:ascii="Poppins" w:hAnsi="Poppins" w:cs="Poppins"/>
              </w:rPr>
            </w:pPr>
            <w:r>
              <w:rPr>
                <w:rFonts w:ascii="Poppins" w:hAnsi="Poppins" w:cs="Poppins"/>
              </w:rPr>
              <w:t>We</w:t>
            </w:r>
            <w:r w:rsidRPr="00FA334F">
              <w:rPr>
                <w:rFonts w:ascii="Poppins" w:hAnsi="Poppins" w:cs="Poppins"/>
              </w:rPr>
              <w:t xml:space="preserve"> will assess borrower capability, governance, track record, financial accounts, existing liabilities, anti-money laundering requirements and due diligence checks.</w:t>
            </w:r>
          </w:p>
        </w:tc>
      </w:tr>
      <w:tr w:rsidR="00E31A73" w:rsidRPr="00FA334F" w14:paraId="7EF2A08E" w14:textId="77777777" w:rsidTr="00B56E77">
        <w:trPr>
          <w:tblCellSpacing w:w="15" w:type="dxa"/>
        </w:trPr>
        <w:tc>
          <w:tcPr>
            <w:tcW w:w="1177" w:type="pct"/>
            <w:tcBorders>
              <w:top w:val="single" w:sz="6" w:space="0" w:color="auto"/>
              <w:left w:val="single" w:sz="6" w:space="0" w:color="auto"/>
              <w:bottom w:val="single" w:sz="6" w:space="0" w:color="auto"/>
              <w:right w:val="single" w:sz="6" w:space="0" w:color="auto"/>
            </w:tcBorders>
            <w:vAlign w:val="center"/>
            <w:hideMark/>
          </w:tcPr>
          <w:p w14:paraId="1B3E848C" w14:textId="77777777" w:rsidR="00E31A73" w:rsidRPr="00FA334F" w:rsidRDefault="00E31A73" w:rsidP="00B56E77">
            <w:pPr>
              <w:rPr>
                <w:rFonts w:ascii="Poppins" w:hAnsi="Poppins" w:cs="Poppins"/>
              </w:rPr>
            </w:pPr>
            <w:r w:rsidRPr="00FA334F">
              <w:rPr>
                <w:rFonts w:ascii="Poppins" w:hAnsi="Poppins" w:cs="Poppins"/>
                <w:b/>
                <w:bCs/>
              </w:rPr>
              <w:t>Affordability assessment</w:t>
            </w:r>
          </w:p>
        </w:tc>
        <w:tc>
          <w:tcPr>
            <w:tcW w:w="3777" w:type="pct"/>
            <w:tcBorders>
              <w:top w:val="single" w:sz="6" w:space="0" w:color="auto"/>
              <w:left w:val="single" w:sz="6" w:space="0" w:color="auto"/>
              <w:bottom w:val="single" w:sz="6" w:space="0" w:color="auto"/>
              <w:right w:val="single" w:sz="6" w:space="0" w:color="auto"/>
            </w:tcBorders>
            <w:vAlign w:val="center"/>
            <w:hideMark/>
          </w:tcPr>
          <w:p w14:paraId="486FAAA7" w14:textId="77777777" w:rsidR="00E31A73" w:rsidRPr="00FA334F" w:rsidRDefault="00E31A73" w:rsidP="00B56E77">
            <w:pPr>
              <w:rPr>
                <w:rFonts w:ascii="Poppins" w:hAnsi="Poppins" w:cs="Poppins"/>
              </w:rPr>
            </w:pPr>
            <w:r>
              <w:rPr>
                <w:rFonts w:ascii="Poppins" w:hAnsi="Poppins" w:cs="Poppins"/>
              </w:rPr>
              <w:t>We</w:t>
            </w:r>
            <w:r w:rsidRPr="00FA334F">
              <w:rPr>
                <w:rFonts w:ascii="Poppins" w:hAnsi="Poppins" w:cs="Poppins"/>
              </w:rPr>
              <w:t xml:space="preserve"> will assess whether </w:t>
            </w:r>
            <w:r>
              <w:rPr>
                <w:rFonts w:ascii="Poppins" w:hAnsi="Poppins" w:cs="Poppins"/>
              </w:rPr>
              <w:t>you</w:t>
            </w:r>
            <w:r w:rsidRPr="00FA334F">
              <w:rPr>
                <w:rFonts w:ascii="Poppins" w:hAnsi="Poppins" w:cs="Poppins"/>
              </w:rPr>
              <w:t xml:space="preserve"> can meet repayment obligations without experiencing financial difficulty. This may include cashflow testing against project revenues or cost savings, repayment profile analysis, and stress testing for COD slippage, lower-than-expected generation or revenues, and interest rate step-ups from 0% to 5% and 10%.</w:t>
            </w:r>
          </w:p>
        </w:tc>
      </w:tr>
      <w:tr w:rsidR="00E31A73" w:rsidRPr="00FA334F" w14:paraId="1345D2DF" w14:textId="77777777" w:rsidTr="00B56E77">
        <w:trPr>
          <w:tblCellSpacing w:w="15" w:type="dxa"/>
        </w:trPr>
        <w:tc>
          <w:tcPr>
            <w:tcW w:w="1177" w:type="pct"/>
            <w:tcBorders>
              <w:top w:val="single" w:sz="6" w:space="0" w:color="auto"/>
              <w:left w:val="single" w:sz="6" w:space="0" w:color="auto"/>
              <w:bottom w:val="single" w:sz="6" w:space="0" w:color="auto"/>
              <w:right w:val="single" w:sz="6" w:space="0" w:color="auto"/>
            </w:tcBorders>
            <w:vAlign w:val="center"/>
            <w:hideMark/>
          </w:tcPr>
          <w:p w14:paraId="3D066A43" w14:textId="77777777" w:rsidR="00E31A73" w:rsidRPr="00FA334F" w:rsidRDefault="00E31A73" w:rsidP="00B56E77">
            <w:pPr>
              <w:rPr>
                <w:rFonts w:ascii="Poppins" w:hAnsi="Poppins" w:cs="Poppins"/>
              </w:rPr>
            </w:pPr>
            <w:r w:rsidRPr="00FA334F">
              <w:rPr>
                <w:rFonts w:ascii="Poppins" w:hAnsi="Poppins" w:cs="Poppins"/>
                <w:b/>
                <w:bCs/>
              </w:rPr>
              <w:t>Balloon repayment assessment</w:t>
            </w:r>
          </w:p>
        </w:tc>
        <w:tc>
          <w:tcPr>
            <w:tcW w:w="3777" w:type="pct"/>
            <w:tcBorders>
              <w:top w:val="single" w:sz="6" w:space="0" w:color="auto"/>
              <w:left w:val="single" w:sz="6" w:space="0" w:color="auto"/>
              <w:bottom w:val="single" w:sz="6" w:space="0" w:color="auto"/>
              <w:right w:val="single" w:sz="6" w:space="0" w:color="auto"/>
            </w:tcBorders>
            <w:vAlign w:val="center"/>
            <w:hideMark/>
          </w:tcPr>
          <w:p w14:paraId="3A275DCA" w14:textId="77777777" w:rsidR="00E31A73" w:rsidRPr="00FA334F" w:rsidRDefault="00E31A73" w:rsidP="00B56E77">
            <w:pPr>
              <w:rPr>
                <w:rFonts w:ascii="Poppins" w:hAnsi="Poppins" w:cs="Poppins"/>
              </w:rPr>
            </w:pPr>
            <w:r w:rsidRPr="00FA334F">
              <w:rPr>
                <w:rFonts w:ascii="Poppins" w:hAnsi="Poppins" w:cs="Poppins"/>
              </w:rPr>
              <w:t xml:space="preserve">Where a balloon payment is proposed, </w:t>
            </w:r>
            <w:r>
              <w:rPr>
                <w:rFonts w:ascii="Poppins" w:hAnsi="Poppins" w:cs="Poppins"/>
              </w:rPr>
              <w:t>you</w:t>
            </w:r>
            <w:r w:rsidRPr="00FA334F">
              <w:rPr>
                <w:rFonts w:ascii="Poppins" w:hAnsi="Poppins" w:cs="Poppins"/>
              </w:rPr>
              <w:t xml:space="preserve"> must demonstrate a credible strategy to repay it, such as refinancing, reserves or future income. </w:t>
            </w:r>
            <w:r>
              <w:rPr>
                <w:rFonts w:ascii="Poppins" w:hAnsi="Poppins" w:cs="Poppins"/>
              </w:rPr>
              <w:t>We</w:t>
            </w:r>
            <w:r w:rsidRPr="00FA334F">
              <w:rPr>
                <w:rFonts w:ascii="Poppins" w:hAnsi="Poppins" w:cs="Poppins"/>
              </w:rPr>
              <w:t xml:space="preserve"> will assess whether this strategy is realistic and sustainable.</w:t>
            </w:r>
          </w:p>
        </w:tc>
      </w:tr>
      <w:tr w:rsidR="00E31A73" w:rsidRPr="00FA334F" w14:paraId="17661012" w14:textId="77777777" w:rsidTr="00B56E77">
        <w:trPr>
          <w:tblCellSpacing w:w="15" w:type="dxa"/>
        </w:trPr>
        <w:tc>
          <w:tcPr>
            <w:tcW w:w="1177" w:type="pct"/>
            <w:tcBorders>
              <w:top w:val="single" w:sz="6" w:space="0" w:color="auto"/>
              <w:left w:val="single" w:sz="6" w:space="0" w:color="auto"/>
              <w:bottom w:val="single" w:sz="6" w:space="0" w:color="auto"/>
              <w:right w:val="single" w:sz="6" w:space="0" w:color="auto"/>
            </w:tcBorders>
            <w:vAlign w:val="center"/>
            <w:hideMark/>
          </w:tcPr>
          <w:p w14:paraId="78B7693C" w14:textId="77777777" w:rsidR="00E31A73" w:rsidRPr="00FA334F" w:rsidRDefault="00E31A73" w:rsidP="00B56E77">
            <w:pPr>
              <w:rPr>
                <w:rFonts w:ascii="Poppins" w:hAnsi="Poppins" w:cs="Poppins"/>
              </w:rPr>
            </w:pPr>
            <w:r w:rsidRPr="00FA334F">
              <w:rPr>
                <w:rFonts w:ascii="Poppins" w:hAnsi="Poppins" w:cs="Poppins"/>
                <w:b/>
                <w:bCs/>
              </w:rPr>
              <w:t>Outcome of assessment</w:t>
            </w:r>
          </w:p>
        </w:tc>
        <w:tc>
          <w:tcPr>
            <w:tcW w:w="3777" w:type="pct"/>
            <w:tcBorders>
              <w:top w:val="single" w:sz="6" w:space="0" w:color="auto"/>
              <w:left w:val="single" w:sz="6" w:space="0" w:color="auto"/>
              <w:bottom w:val="single" w:sz="6" w:space="0" w:color="auto"/>
              <w:right w:val="single" w:sz="6" w:space="0" w:color="auto"/>
            </w:tcBorders>
            <w:vAlign w:val="center"/>
            <w:hideMark/>
          </w:tcPr>
          <w:p w14:paraId="2F4D13CA" w14:textId="77777777" w:rsidR="00E31A73" w:rsidRPr="00FA334F" w:rsidRDefault="00E31A73" w:rsidP="00B56E77">
            <w:pPr>
              <w:rPr>
                <w:rFonts w:ascii="Poppins" w:hAnsi="Poppins" w:cs="Poppins"/>
              </w:rPr>
            </w:pPr>
            <w:r w:rsidRPr="00FA334F">
              <w:rPr>
                <w:rFonts w:ascii="Poppins" w:hAnsi="Poppins" w:cs="Poppins"/>
              </w:rPr>
              <w:t xml:space="preserve">Applications will only be approved where the loan is considered affordable and appropriate, </w:t>
            </w:r>
            <w:r>
              <w:rPr>
                <w:rFonts w:ascii="Poppins" w:hAnsi="Poppins" w:cs="Poppins"/>
              </w:rPr>
              <w:t>you</w:t>
            </w:r>
            <w:r w:rsidRPr="00FA334F">
              <w:rPr>
                <w:rFonts w:ascii="Poppins" w:hAnsi="Poppins" w:cs="Poppins"/>
              </w:rPr>
              <w:t xml:space="preserve"> demonstrate sufficient financial and organisational capacity, and risks are considered manageable and proportionate. </w:t>
            </w:r>
            <w:r>
              <w:rPr>
                <w:rFonts w:ascii="Poppins" w:hAnsi="Poppins" w:cs="Poppins"/>
              </w:rPr>
              <w:t>We</w:t>
            </w:r>
            <w:r w:rsidRPr="00FA334F">
              <w:rPr>
                <w:rFonts w:ascii="Poppins" w:hAnsi="Poppins" w:cs="Poppins"/>
              </w:rPr>
              <w:t xml:space="preserve"> may adjust the loan amount, amend the repayment profile, or apply additional conditions or protections where appropriate.</w:t>
            </w:r>
          </w:p>
          <w:p w14:paraId="3AFD02ED" w14:textId="77777777" w:rsidR="00E31A73" w:rsidRPr="00FA334F" w:rsidRDefault="00E31A73" w:rsidP="00B56E77">
            <w:pPr>
              <w:rPr>
                <w:rFonts w:ascii="Poppins" w:hAnsi="Poppins" w:cs="Poppins"/>
              </w:rPr>
            </w:pPr>
          </w:p>
        </w:tc>
      </w:tr>
    </w:tbl>
    <w:p w14:paraId="6CE40ED7" w14:textId="5E226019" w:rsidR="00DE58AF" w:rsidRPr="00FA334F" w:rsidRDefault="00DE58AF" w:rsidP="00DE58AF">
      <w:pPr>
        <w:pStyle w:val="Heading2"/>
        <w:rPr>
          <w:kern w:val="2"/>
          <w:lang w:eastAsia="en-GB"/>
          <w14:ligatures w14:val="standardContextual"/>
        </w:rPr>
      </w:pPr>
      <w:r w:rsidRPr="00FA334F">
        <w:lastRenderedPageBreak/>
        <w:t>10. Personalised Repayment Schedule</w:t>
      </w:r>
    </w:p>
    <w:tbl>
      <w:tblPr>
        <w:tblW w:w="5536" w:type="pct"/>
        <w:tblCellSpacing w:w="15" w:type="dxa"/>
        <w:tblCellMar>
          <w:top w:w="15" w:type="dxa"/>
          <w:left w:w="15" w:type="dxa"/>
          <w:bottom w:w="15" w:type="dxa"/>
          <w:right w:w="15" w:type="dxa"/>
        </w:tblCellMar>
        <w:tblLook w:val="04A0" w:firstRow="1" w:lastRow="0" w:firstColumn="1" w:lastColumn="0" w:noHBand="0" w:noVBand="1"/>
      </w:tblPr>
      <w:tblGrid>
        <w:gridCol w:w="2290"/>
        <w:gridCol w:w="7258"/>
      </w:tblGrid>
      <w:tr w:rsidR="00596175" w:rsidRPr="00FA334F" w14:paraId="2570135E" w14:textId="77777777" w:rsidTr="00AE555C">
        <w:trPr>
          <w:tblCellSpacing w:w="15" w:type="dxa"/>
        </w:trPr>
        <w:tc>
          <w:tcPr>
            <w:tcW w:w="1176" w:type="pct"/>
            <w:tcBorders>
              <w:top w:val="single" w:sz="6" w:space="0" w:color="auto"/>
              <w:left w:val="single" w:sz="6" w:space="0" w:color="auto"/>
              <w:bottom w:val="single" w:sz="6" w:space="0" w:color="auto"/>
              <w:right w:val="single" w:sz="6" w:space="0" w:color="auto"/>
            </w:tcBorders>
            <w:vAlign w:val="center"/>
            <w:hideMark/>
          </w:tcPr>
          <w:p w14:paraId="14E74778" w14:textId="77777777" w:rsidR="00596175" w:rsidRPr="00FA334F" w:rsidRDefault="00596175">
            <w:pPr>
              <w:rPr>
                <w:rFonts w:ascii="Poppins" w:hAnsi="Poppins" w:cs="Poppins"/>
                <w:kern w:val="2"/>
                <w:lang w:eastAsia="en-GB"/>
                <w14:ligatures w14:val="standardContextual"/>
              </w:rPr>
            </w:pPr>
            <w:r w:rsidRPr="00FA334F">
              <w:rPr>
                <w:rFonts w:ascii="Poppins" w:hAnsi="Poppins" w:cs="Poppins"/>
                <w:b/>
                <w:bCs/>
              </w:rPr>
              <w:t>Schedule details</w:t>
            </w:r>
          </w:p>
        </w:tc>
        <w:tc>
          <w:tcPr>
            <w:tcW w:w="3777" w:type="pct"/>
            <w:tcBorders>
              <w:top w:val="single" w:sz="6" w:space="0" w:color="auto"/>
              <w:left w:val="single" w:sz="6" w:space="0" w:color="auto"/>
              <w:bottom w:val="single" w:sz="6" w:space="0" w:color="auto"/>
              <w:right w:val="single" w:sz="6" w:space="0" w:color="auto"/>
            </w:tcBorders>
            <w:vAlign w:val="center"/>
            <w:hideMark/>
          </w:tcPr>
          <w:p w14:paraId="07AD7BB9" w14:textId="7B630E9E" w:rsidR="00596175" w:rsidRPr="00FA334F" w:rsidRDefault="001B6CE3">
            <w:pPr>
              <w:rPr>
                <w:rFonts w:ascii="Poppins" w:hAnsi="Poppins" w:cs="Poppins"/>
              </w:rPr>
            </w:pPr>
            <w:r>
              <w:rPr>
                <w:rFonts w:ascii="Poppins" w:hAnsi="Poppins" w:cs="Poppins"/>
              </w:rPr>
              <w:t>We will provide you with a</w:t>
            </w:r>
            <w:r w:rsidRPr="00FA334F">
              <w:rPr>
                <w:rFonts w:ascii="Poppins" w:hAnsi="Poppins" w:cs="Poppins"/>
              </w:rPr>
              <w:t xml:space="preserve"> </w:t>
            </w:r>
            <w:r w:rsidR="00596175" w:rsidRPr="00FA334F">
              <w:rPr>
                <w:rFonts w:ascii="Poppins" w:hAnsi="Poppins" w:cs="Poppins"/>
              </w:rPr>
              <w:t>full personalised schedule showing all payments, start date, interest and capital split, and any final balloon payment.</w:t>
            </w:r>
          </w:p>
        </w:tc>
      </w:tr>
    </w:tbl>
    <w:p w14:paraId="2DB47BEE" w14:textId="08C626E9" w:rsidR="00DE58AF" w:rsidRPr="00FA334F" w:rsidRDefault="00DE58AF" w:rsidP="00DE58AF">
      <w:pPr>
        <w:pStyle w:val="Heading2"/>
        <w:rPr>
          <w:kern w:val="2"/>
          <w:lang w:eastAsia="en-GB"/>
          <w14:ligatures w14:val="standardContextual"/>
        </w:rPr>
      </w:pPr>
      <w:r w:rsidRPr="00FA334F">
        <w:t>1</w:t>
      </w:r>
      <w:r w:rsidR="00C22577">
        <w:t>1</w:t>
      </w:r>
      <w:r w:rsidRPr="00FA334F">
        <w:t>. Consequences of Missing Payments</w:t>
      </w:r>
    </w:p>
    <w:tbl>
      <w:tblPr>
        <w:tblW w:w="5536" w:type="pct"/>
        <w:tblCellSpacing w:w="15" w:type="dxa"/>
        <w:tblCellMar>
          <w:top w:w="15" w:type="dxa"/>
          <w:left w:w="15" w:type="dxa"/>
          <w:bottom w:w="15" w:type="dxa"/>
          <w:right w:w="15" w:type="dxa"/>
        </w:tblCellMar>
        <w:tblLook w:val="04A0" w:firstRow="1" w:lastRow="0" w:firstColumn="1" w:lastColumn="0" w:noHBand="0" w:noVBand="1"/>
      </w:tblPr>
      <w:tblGrid>
        <w:gridCol w:w="2292"/>
        <w:gridCol w:w="7256"/>
      </w:tblGrid>
      <w:tr w:rsidR="00E12EF1" w:rsidRPr="00FA334F" w14:paraId="61EB4B7D" w14:textId="77777777" w:rsidTr="00485B05">
        <w:trPr>
          <w:tblCellSpacing w:w="15" w:type="dxa"/>
        </w:trPr>
        <w:tc>
          <w:tcPr>
            <w:tcW w:w="1177" w:type="pct"/>
            <w:tcBorders>
              <w:top w:val="single" w:sz="6" w:space="0" w:color="auto"/>
              <w:left w:val="single" w:sz="6" w:space="0" w:color="auto"/>
              <w:bottom w:val="single" w:sz="6" w:space="0" w:color="auto"/>
              <w:right w:val="single" w:sz="6" w:space="0" w:color="auto"/>
            </w:tcBorders>
            <w:vAlign w:val="center"/>
            <w:hideMark/>
          </w:tcPr>
          <w:p w14:paraId="794D7FD6" w14:textId="77777777" w:rsidR="00E12EF1" w:rsidRPr="00FA334F" w:rsidRDefault="00E12EF1">
            <w:pPr>
              <w:rPr>
                <w:rFonts w:ascii="Poppins" w:hAnsi="Poppins" w:cs="Poppins"/>
                <w:kern w:val="2"/>
                <w:lang w:eastAsia="en-GB"/>
                <w14:ligatures w14:val="standardContextual"/>
              </w:rPr>
            </w:pPr>
            <w:r w:rsidRPr="00FA334F">
              <w:rPr>
                <w:rFonts w:ascii="Poppins" w:hAnsi="Poppins" w:cs="Poppins"/>
                <w:b/>
                <w:bCs/>
              </w:rPr>
              <w:t>Missed payments or breach</w:t>
            </w:r>
          </w:p>
        </w:tc>
        <w:tc>
          <w:tcPr>
            <w:tcW w:w="3777" w:type="pct"/>
            <w:tcBorders>
              <w:top w:val="single" w:sz="6" w:space="0" w:color="auto"/>
              <w:left w:val="single" w:sz="6" w:space="0" w:color="auto"/>
              <w:bottom w:val="single" w:sz="6" w:space="0" w:color="auto"/>
              <w:right w:val="single" w:sz="6" w:space="0" w:color="auto"/>
            </w:tcBorders>
            <w:vAlign w:val="center"/>
            <w:hideMark/>
          </w:tcPr>
          <w:p w14:paraId="2CC635B1" w14:textId="5C24296B" w:rsidR="00E12EF1" w:rsidRPr="00551049" w:rsidRDefault="003609DB">
            <w:pPr>
              <w:rPr>
                <w:rFonts w:ascii="Poppins" w:hAnsi="Poppins" w:cs="Poppins"/>
              </w:rPr>
            </w:pPr>
            <w:r w:rsidRPr="003609DB">
              <w:rPr>
                <w:rFonts w:ascii="Poppins" w:hAnsi="Poppins" w:cs="Poppins"/>
              </w:rPr>
              <w:t xml:space="preserve">If you miss payments or breach the agreement, overdue sums may accrue interest at the 10% Interest Rate and </w:t>
            </w:r>
            <w:r w:rsidR="00990611">
              <w:rPr>
                <w:rFonts w:ascii="Poppins" w:hAnsi="Poppins" w:cs="Poppins"/>
              </w:rPr>
              <w:t>we</w:t>
            </w:r>
            <w:r w:rsidRPr="003609DB">
              <w:rPr>
                <w:rFonts w:ascii="Poppins" w:hAnsi="Poppins" w:cs="Poppins"/>
              </w:rPr>
              <w:t xml:space="preserve"> may take recovery action, including demanding immediate </w:t>
            </w:r>
            <w:r w:rsidRPr="00551049">
              <w:rPr>
                <w:rFonts w:ascii="Poppins" w:hAnsi="Poppins" w:cs="Poppins"/>
              </w:rPr>
              <w:t xml:space="preserve">repayment. </w:t>
            </w:r>
            <w:r w:rsidR="00990611">
              <w:rPr>
                <w:rFonts w:ascii="Poppins" w:hAnsi="Poppins" w:cs="Poppins"/>
              </w:rPr>
              <w:t>We</w:t>
            </w:r>
            <w:r w:rsidRPr="00551049">
              <w:rPr>
                <w:rFonts w:ascii="Poppins" w:hAnsi="Poppins" w:cs="Poppins"/>
              </w:rPr>
              <w:t xml:space="preserve"> will seek early engagement where possible. See section 4 for further detail.</w:t>
            </w:r>
          </w:p>
          <w:p w14:paraId="2D2E3D1D" w14:textId="2D8E60D8" w:rsidR="00430707" w:rsidRPr="00551049" w:rsidRDefault="00C6786E">
            <w:pPr>
              <w:rPr>
                <w:rFonts w:ascii="Poppins" w:hAnsi="Poppins" w:cs="Poppins"/>
                <w:highlight w:val="yellow"/>
              </w:rPr>
            </w:pPr>
            <w:r w:rsidRPr="00551049">
              <w:rPr>
                <w:rFonts w:ascii="Poppins" w:hAnsi="Poppins" w:cs="Poppins"/>
              </w:rPr>
              <w:t>This may mean that the 10% interest rate is applied to missed repayments. For example, if a payment is missed during the first 18 months—when no interest is otherwise charged—the increased rate may become applicable to the overdue amount.</w:t>
            </w:r>
          </w:p>
        </w:tc>
      </w:tr>
    </w:tbl>
    <w:p w14:paraId="7250071E" w14:textId="46C2527E" w:rsidR="00DE58AF" w:rsidRPr="00FA334F" w:rsidRDefault="00DE58AF" w:rsidP="00DE58AF">
      <w:pPr>
        <w:pStyle w:val="Heading2"/>
        <w:rPr>
          <w:kern w:val="2"/>
          <w:lang w:eastAsia="en-GB"/>
          <w14:ligatures w14:val="standardContextual"/>
        </w:rPr>
      </w:pPr>
      <w:r w:rsidRPr="00FA334F">
        <w:t>1</w:t>
      </w:r>
      <w:r w:rsidR="00451F52">
        <w:t>2</w:t>
      </w:r>
      <w:r w:rsidRPr="00FA334F">
        <w:t>. Complaints</w:t>
      </w:r>
    </w:p>
    <w:tbl>
      <w:tblPr>
        <w:tblW w:w="5536" w:type="pct"/>
        <w:tblCellSpacing w:w="15" w:type="dxa"/>
        <w:tblCellMar>
          <w:top w:w="15" w:type="dxa"/>
          <w:left w:w="15" w:type="dxa"/>
          <w:bottom w:w="15" w:type="dxa"/>
          <w:right w:w="15" w:type="dxa"/>
        </w:tblCellMar>
        <w:tblLook w:val="04A0" w:firstRow="1" w:lastRow="0" w:firstColumn="1" w:lastColumn="0" w:noHBand="0" w:noVBand="1"/>
      </w:tblPr>
      <w:tblGrid>
        <w:gridCol w:w="2290"/>
        <w:gridCol w:w="7258"/>
      </w:tblGrid>
      <w:tr w:rsidR="00596175" w:rsidRPr="00FA334F" w14:paraId="6BA918CF" w14:textId="77777777" w:rsidTr="00485B05">
        <w:trPr>
          <w:tblCellSpacing w:w="15" w:type="dxa"/>
        </w:trPr>
        <w:tc>
          <w:tcPr>
            <w:tcW w:w="1176" w:type="pct"/>
            <w:tcBorders>
              <w:top w:val="single" w:sz="6" w:space="0" w:color="auto"/>
              <w:left w:val="single" w:sz="6" w:space="0" w:color="auto"/>
              <w:bottom w:val="single" w:sz="6" w:space="0" w:color="auto"/>
              <w:right w:val="single" w:sz="6" w:space="0" w:color="auto"/>
            </w:tcBorders>
            <w:vAlign w:val="center"/>
            <w:hideMark/>
          </w:tcPr>
          <w:p w14:paraId="6581987C" w14:textId="77777777" w:rsidR="00596175" w:rsidRPr="00FA334F" w:rsidRDefault="00596175">
            <w:pPr>
              <w:rPr>
                <w:rFonts w:ascii="Poppins" w:hAnsi="Poppins" w:cs="Poppins"/>
                <w:kern w:val="2"/>
                <w:lang w:eastAsia="en-GB"/>
                <w14:ligatures w14:val="standardContextual"/>
              </w:rPr>
            </w:pPr>
            <w:r w:rsidRPr="00FA334F">
              <w:rPr>
                <w:rFonts w:ascii="Poppins" w:hAnsi="Poppins" w:cs="Poppins"/>
                <w:b/>
                <w:bCs/>
              </w:rPr>
              <w:t>Contact</w:t>
            </w:r>
          </w:p>
        </w:tc>
        <w:tc>
          <w:tcPr>
            <w:tcW w:w="3777" w:type="pct"/>
            <w:tcBorders>
              <w:top w:val="single" w:sz="6" w:space="0" w:color="auto"/>
              <w:left w:val="single" w:sz="6" w:space="0" w:color="auto"/>
              <w:bottom w:val="single" w:sz="6" w:space="0" w:color="auto"/>
              <w:right w:val="single" w:sz="6" w:space="0" w:color="auto"/>
            </w:tcBorders>
            <w:vAlign w:val="center"/>
            <w:hideMark/>
          </w:tcPr>
          <w:p w14:paraId="52BEC4D6" w14:textId="6943567D" w:rsidR="0014179A" w:rsidRPr="00FA334F" w:rsidRDefault="0014179A" w:rsidP="0014179A">
            <w:pPr>
              <w:rPr>
                <w:rFonts w:ascii="Poppins" w:hAnsi="Poppins" w:cs="Poppins"/>
              </w:rPr>
            </w:pPr>
            <w:r w:rsidRPr="00FA334F">
              <w:rPr>
                <w:rFonts w:ascii="Poppins" w:hAnsi="Poppins" w:cs="Poppins"/>
              </w:rPr>
              <w:t xml:space="preserve">Complaints will be managed and investigated by </w:t>
            </w:r>
            <w:r w:rsidR="00990611">
              <w:rPr>
                <w:rFonts w:ascii="Poppins" w:hAnsi="Poppins" w:cs="Poppins"/>
              </w:rPr>
              <w:t>us</w:t>
            </w:r>
            <w:r w:rsidRPr="00FA334F">
              <w:rPr>
                <w:rFonts w:ascii="Poppins" w:hAnsi="Poppins" w:cs="Poppins"/>
              </w:rPr>
              <w:t xml:space="preserve"> in accordance with </w:t>
            </w:r>
            <w:r w:rsidR="00990611">
              <w:rPr>
                <w:rFonts w:ascii="Poppins" w:hAnsi="Poppins" w:cs="Poppins"/>
              </w:rPr>
              <w:t>our</w:t>
            </w:r>
            <w:r w:rsidR="00990611" w:rsidRPr="00FA334F">
              <w:rPr>
                <w:rFonts w:ascii="Poppins" w:hAnsi="Poppins" w:cs="Poppins"/>
              </w:rPr>
              <w:t xml:space="preserve"> </w:t>
            </w:r>
            <w:r w:rsidRPr="00FA334F">
              <w:rPr>
                <w:rFonts w:ascii="Poppins" w:hAnsi="Poppins" w:cs="Poppins"/>
              </w:rPr>
              <w:t>complaints policy. Further details are available in the Local Energy Scotland customer complaints process.</w:t>
            </w:r>
            <w:r w:rsidR="00990611">
              <w:rPr>
                <w:rFonts w:ascii="Poppins" w:hAnsi="Poppins" w:cs="Poppins"/>
              </w:rPr>
              <w:t>]</w:t>
            </w:r>
          </w:p>
          <w:p w14:paraId="37C3BFFD" w14:textId="36D63512" w:rsidR="00596175" w:rsidRPr="00FA334F" w:rsidRDefault="0046424A">
            <w:pPr>
              <w:rPr>
                <w:rFonts w:ascii="Poppins" w:hAnsi="Poppins" w:cs="Poppins"/>
              </w:rPr>
            </w:pPr>
            <w:hyperlink r:id="rId15" w:history="1">
              <w:r w:rsidRPr="00FA334F">
                <w:rPr>
                  <w:rStyle w:val="Hyperlink"/>
                  <w:rFonts w:ascii="Poppins" w:hAnsi="Poppins" w:cs="Poppins"/>
                </w:rPr>
                <w:t>Our customer complaints process · Local Energy Scotland</w:t>
              </w:r>
            </w:hyperlink>
          </w:p>
        </w:tc>
      </w:tr>
      <w:tr w:rsidR="00596175" w:rsidRPr="00FA334F" w14:paraId="218EB7A3" w14:textId="77777777" w:rsidTr="00485B05">
        <w:trPr>
          <w:tblCellSpacing w:w="15" w:type="dxa"/>
        </w:trPr>
        <w:tc>
          <w:tcPr>
            <w:tcW w:w="1176" w:type="pct"/>
            <w:tcBorders>
              <w:top w:val="single" w:sz="6" w:space="0" w:color="auto"/>
              <w:left w:val="single" w:sz="6" w:space="0" w:color="auto"/>
              <w:bottom w:val="single" w:sz="6" w:space="0" w:color="auto"/>
              <w:right w:val="single" w:sz="6" w:space="0" w:color="auto"/>
            </w:tcBorders>
            <w:vAlign w:val="center"/>
            <w:hideMark/>
          </w:tcPr>
          <w:p w14:paraId="5129BD7A" w14:textId="77777777" w:rsidR="00596175" w:rsidRPr="00FA334F" w:rsidRDefault="00596175">
            <w:pPr>
              <w:rPr>
                <w:rFonts w:ascii="Poppins" w:hAnsi="Poppins" w:cs="Poppins"/>
              </w:rPr>
            </w:pPr>
            <w:r w:rsidRPr="00FA334F">
              <w:rPr>
                <w:rFonts w:ascii="Poppins" w:hAnsi="Poppins" w:cs="Poppins"/>
                <w:b/>
                <w:bCs/>
              </w:rPr>
              <w:t>Response time</w:t>
            </w:r>
          </w:p>
        </w:tc>
        <w:tc>
          <w:tcPr>
            <w:tcW w:w="3777" w:type="pct"/>
            <w:tcBorders>
              <w:top w:val="single" w:sz="6" w:space="0" w:color="auto"/>
              <w:left w:val="single" w:sz="6" w:space="0" w:color="auto"/>
              <w:bottom w:val="single" w:sz="6" w:space="0" w:color="auto"/>
              <w:right w:val="single" w:sz="6" w:space="0" w:color="auto"/>
            </w:tcBorders>
            <w:vAlign w:val="center"/>
            <w:hideMark/>
          </w:tcPr>
          <w:p w14:paraId="4956C9F6" w14:textId="485BE260" w:rsidR="005E5365" w:rsidRPr="00FA334F" w:rsidRDefault="0033207D">
            <w:pPr>
              <w:rPr>
                <w:rFonts w:ascii="Poppins" w:hAnsi="Poppins" w:cs="Poppins"/>
              </w:rPr>
            </w:pPr>
            <w:r w:rsidRPr="00FA334F">
              <w:rPr>
                <w:rFonts w:ascii="Poppins" w:hAnsi="Poppins" w:cs="Poppins"/>
              </w:rPr>
              <w:t xml:space="preserve">Complaints will be logged </w:t>
            </w:r>
            <w:proofErr w:type="gramStart"/>
            <w:r w:rsidRPr="00FA334F">
              <w:rPr>
                <w:rFonts w:ascii="Poppins" w:hAnsi="Poppins" w:cs="Poppins"/>
              </w:rPr>
              <w:t>promptly</w:t>
            </w:r>
            <w:proofErr w:type="gramEnd"/>
            <w:r w:rsidRPr="00FA334F">
              <w:rPr>
                <w:rFonts w:ascii="Poppins" w:hAnsi="Poppins" w:cs="Poppins"/>
              </w:rPr>
              <w:t xml:space="preserve"> and an initial response or acknowledgement will be provided within 5 working days. Where a complaint cannot be resolved at first contact, </w:t>
            </w:r>
            <w:r w:rsidR="001B6CE3">
              <w:rPr>
                <w:rFonts w:ascii="Poppins" w:hAnsi="Poppins" w:cs="Poppins"/>
              </w:rPr>
              <w:t>we</w:t>
            </w:r>
            <w:r w:rsidRPr="00FA334F">
              <w:rPr>
                <w:rFonts w:ascii="Poppins" w:hAnsi="Poppins" w:cs="Poppins"/>
              </w:rPr>
              <w:t xml:space="preserve"> will investigate the matter and provide updates in line with </w:t>
            </w:r>
            <w:r w:rsidR="009D1041">
              <w:rPr>
                <w:rFonts w:ascii="Poppins" w:hAnsi="Poppins" w:cs="Poppins"/>
              </w:rPr>
              <w:t>our</w:t>
            </w:r>
            <w:r w:rsidRPr="00FA334F">
              <w:rPr>
                <w:rFonts w:ascii="Poppins" w:hAnsi="Poppins" w:cs="Poppins"/>
              </w:rPr>
              <w:t xml:space="preserve"> complaints process. </w:t>
            </w:r>
            <w:r w:rsidR="009D1041">
              <w:rPr>
                <w:rFonts w:ascii="Poppins" w:hAnsi="Poppins" w:cs="Poppins"/>
              </w:rPr>
              <w:t>[</w:t>
            </w:r>
          </w:p>
        </w:tc>
      </w:tr>
    </w:tbl>
    <w:p w14:paraId="7B6053A9" w14:textId="5FC2FB9C" w:rsidR="00DE58AF" w:rsidRPr="00FA334F" w:rsidRDefault="00DE58AF" w:rsidP="00DE58AF">
      <w:pPr>
        <w:pStyle w:val="Heading2"/>
        <w:rPr>
          <w:kern w:val="2"/>
          <w:lang w:eastAsia="en-GB"/>
          <w14:ligatures w14:val="standardContextual"/>
        </w:rPr>
      </w:pPr>
      <w:r w:rsidRPr="00FA334F">
        <w:lastRenderedPageBreak/>
        <w:t>1</w:t>
      </w:r>
      <w:r w:rsidR="00451F52">
        <w:t>3</w:t>
      </w:r>
      <w:r w:rsidRPr="00FA334F">
        <w:t xml:space="preserve">. </w:t>
      </w:r>
      <w:r w:rsidR="009D1041">
        <w:t xml:space="preserve">Regulatory </w:t>
      </w:r>
      <w:r w:rsidR="001F4D78">
        <w:t>status</w:t>
      </w:r>
    </w:p>
    <w:tbl>
      <w:tblPr>
        <w:tblW w:w="5536" w:type="pct"/>
        <w:tblCellSpacing w:w="15" w:type="dxa"/>
        <w:tblCellMar>
          <w:top w:w="15" w:type="dxa"/>
          <w:left w:w="15" w:type="dxa"/>
          <w:bottom w:w="15" w:type="dxa"/>
          <w:right w:w="15" w:type="dxa"/>
        </w:tblCellMar>
        <w:tblLook w:val="04A0" w:firstRow="1" w:lastRow="0" w:firstColumn="1" w:lastColumn="0" w:noHBand="0" w:noVBand="1"/>
      </w:tblPr>
      <w:tblGrid>
        <w:gridCol w:w="2290"/>
        <w:gridCol w:w="7258"/>
      </w:tblGrid>
      <w:tr w:rsidR="009D1041" w:rsidRPr="00FA334F" w14:paraId="75CF2981" w14:textId="77777777" w:rsidTr="00485B05">
        <w:trPr>
          <w:tblCellSpacing w:w="15" w:type="dxa"/>
        </w:trPr>
        <w:tc>
          <w:tcPr>
            <w:tcW w:w="1176" w:type="pct"/>
            <w:tcBorders>
              <w:top w:val="single" w:sz="6" w:space="0" w:color="auto"/>
              <w:left w:val="single" w:sz="6" w:space="0" w:color="auto"/>
              <w:bottom w:val="single" w:sz="6" w:space="0" w:color="auto"/>
              <w:right w:val="single" w:sz="6" w:space="0" w:color="auto"/>
            </w:tcBorders>
            <w:vAlign w:val="center"/>
          </w:tcPr>
          <w:p w14:paraId="0A691A58" w14:textId="51222E51" w:rsidR="009D1041" w:rsidRPr="00FA334F" w:rsidRDefault="009D1041">
            <w:pPr>
              <w:rPr>
                <w:rFonts w:ascii="Poppins" w:hAnsi="Poppins" w:cs="Poppins"/>
                <w:b/>
                <w:bCs/>
              </w:rPr>
            </w:pPr>
            <w:r>
              <w:rPr>
                <w:rFonts w:ascii="Poppins" w:hAnsi="Poppins" w:cs="Poppins"/>
                <w:b/>
                <w:bCs/>
              </w:rPr>
              <w:t>Consumer Credit</w:t>
            </w:r>
          </w:p>
        </w:tc>
        <w:tc>
          <w:tcPr>
            <w:tcW w:w="3777" w:type="pct"/>
            <w:tcBorders>
              <w:top w:val="single" w:sz="6" w:space="0" w:color="auto"/>
              <w:left w:val="single" w:sz="6" w:space="0" w:color="auto"/>
              <w:bottom w:val="single" w:sz="6" w:space="0" w:color="auto"/>
              <w:right w:val="single" w:sz="6" w:space="0" w:color="auto"/>
            </w:tcBorders>
            <w:vAlign w:val="center"/>
          </w:tcPr>
          <w:p w14:paraId="67A05670" w14:textId="6617BEC9" w:rsidR="001F4D78" w:rsidRDefault="001F4D78">
            <w:pPr>
              <w:rPr>
                <w:rFonts w:ascii="Poppins" w:hAnsi="Poppins" w:cs="Poppins"/>
              </w:rPr>
            </w:pPr>
            <w:r w:rsidRPr="001F4D78">
              <w:rPr>
                <w:rFonts w:ascii="Poppins" w:hAnsi="Poppins" w:cs="Poppins"/>
              </w:rPr>
              <w:t>We are authorised and regulated by the Financial Conduct Authority for consumer credit activities and our registration number is 716195</w:t>
            </w:r>
            <w:r w:rsidR="00F207CD">
              <w:rPr>
                <w:rFonts w:ascii="Poppins" w:hAnsi="Poppins" w:cs="Poppins"/>
              </w:rPr>
              <w:t>.</w:t>
            </w:r>
          </w:p>
          <w:p w14:paraId="45055A3A" w14:textId="0DABA992" w:rsidR="009D1041" w:rsidRDefault="001F4D78">
            <w:pPr>
              <w:rPr>
                <w:rFonts w:ascii="Poppins" w:hAnsi="Poppins" w:cs="Poppins"/>
              </w:rPr>
            </w:pPr>
            <w:r>
              <w:rPr>
                <w:rFonts w:ascii="Poppins" w:hAnsi="Poppins" w:cs="Poppins"/>
              </w:rPr>
              <w:t>T</w:t>
            </w:r>
            <w:r w:rsidR="009D1041">
              <w:rPr>
                <w:rFonts w:ascii="Poppins" w:hAnsi="Poppins" w:cs="Poppins"/>
              </w:rPr>
              <w:t>h</w:t>
            </w:r>
            <w:r w:rsidR="00F207CD">
              <w:rPr>
                <w:rFonts w:ascii="Poppins" w:hAnsi="Poppins" w:cs="Poppins"/>
              </w:rPr>
              <w:t>e</w:t>
            </w:r>
            <w:r w:rsidR="009D1041">
              <w:rPr>
                <w:rFonts w:ascii="Poppins" w:hAnsi="Poppins" w:cs="Poppins"/>
              </w:rPr>
              <w:t xml:space="preserve"> loan </w:t>
            </w:r>
            <w:r>
              <w:rPr>
                <w:rFonts w:ascii="Poppins" w:hAnsi="Poppins" w:cs="Poppins"/>
              </w:rPr>
              <w:t>agreement will</w:t>
            </w:r>
            <w:r w:rsidR="009D1041">
              <w:rPr>
                <w:rFonts w:ascii="Poppins" w:hAnsi="Poppins" w:cs="Poppins"/>
              </w:rPr>
              <w:t xml:space="preserve"> not </w:t>
            </w:r>
            <w:r>
              <w:rPr>
                <w:rFonts w:ascii="Poppins" w:hAnsi="Poppins" w:cs="Poppins"/>
              </w:rPr>
              <w:t xml:space="preserve">be </w:t>
            </w:r>
            <w:r w:rsidR="009D1041">
              <w:rPr>
                <w:rFonts w:ascii="Poppins" w:hAnsi="Poppins" w:cs="Poppins"/>
              </w:rPr>
              <w:t xml:space="preserve">regulated by the Consumer Credit Act 1974. </w:t>
            </w:r>
            <w:r>
              <w:rPr>
                <w:rFonts w:ascii="Poppins" w:hAnsi="Poppins" w:cs="Poppins"/>
              </w:rPr>
              <w:t xml:space="preserve"> You will not benefit from the protections and remedies available under the Consumer Credit Act 1974.</w:t>
            </w:r>
          </w:p>
          <w:p w14:paraId="7D24549E" w14:textId="708E19D4" w:rsidR="00F207CD" w:rsidRPr="00FA334F" w:rsidRDefault="00F207CD">
            <w:pPr>
              <w:rPr>
                <w:rFonts w:ascii="Poppins" w:hAnsi="Poppins" w:cs="Poppins"/>
              </w:rPr>
            </w:pPr>
            <w:r>
              <w:rPr>
                <w:rFonts w:ascii="Poppins" w:hAnsi="Poppins" w:cs="Poppins"/>
              </w:rPr>
              <w:t xml:space="preserve">Whilst the loan agreement is not </w:t>
            </w:r>
            <w:proofErr w:type="gramStart"/>
            <w:r>
              <w:rPr>
                <w:rFonts w:ascii="Poppins" w:hAnsi="Poppins" w:cs="Poppins"/>
              </w:rPr>
              <w:t>regulated</w:t>
            </w:r>
            <w:proofErr w:type="gramEnd"/>
            <w:r>
              <w:rPr>
                <w:rFonts w:ascii="Poppins" w:hAnsi="Poppins" w:cs="Poppins"/>
              </w:rPr>
              <w:t xml:space="preserve"> we will </w:t>
            </w:r>
          </w:p>
        </w:tc>
      </w:tr>
      <w:tr w:rsidR="001F4D78" w:rsidRPr="00FA334F" w14:paraId="0DCDA96B" w14:textId="77777777" w:rsidTr="00485B05">
        <w:trPr>
          <w:tblCellSpacing w:w="15" w:type="dxa"/>
        </w:trPr>
        <w:tc>
          <w:tcPr>
            <w:tcW w:w="1176" w:type="pct"/>
            <w:tcBorders>
              <w:top w:val="single" w:sz="6" w:space="0" w:color="auto"/>
              <w:left w:val="single" w:sz="6" w:space="0" w:color="auto"/>
              <w:bottom w:val="single" w:sz="6" w:space="0" w:color="auto"/>
              <w:right w:val="single" w:sz="6" w:space="0" w:color="auto"/>
            </w:tcBorders>
            <w:vAlign w:val="center"/>
          </w:tcPr>
          <w:p w14:paraId="7C032BF1" w14:textId="780E6879" w:rsidR="001F4D78" w:rsidRPr="00FA334F" w:rsidRDefault="001F4D78">
            <w:pPr>
              <w:rPr>
                <w:rFonts w:ascii="Poppins" w:hAnsi="Poppins" w:cs="Poppins"/>
                <w:b/>
                <w:bCs/>
              </w:rPr>
            </w:pPr>
            <w:r>
              <w:rPr>
                <w:rFonts w:ascii="Poppins" w:hAnsi="Poppins" w:cs="Poppins"/>
                <w:b/>
                <w:bCs/>
              </w:rPr>
              <w:t>Financial Ombudsman Service</w:t>
            </w:r>
          </w:p>
        </w:tc>
        <w:tc>
          <w:tcPr>
            <w:tcW w:w="3777" w:type="pct"/>
            <w:tcBorders>
              <w:top w:val="single" w:sz="6" w:space="0" w:color="auto"/>
              <w:left w:val="single" w:sz="6" w:space="0" w:color="auto"/>
              <w:bottom w:val="single" w:sz="6" w:space="0" w:color="auto"/>
              <w:right w:val="single" w:sz="6" w:space="0" w:color="auto"/>
            </w:tcBorders>
            <w:vAlign w:val="center"/>
          </w:tcPr>
          <w:p w14:paraId="65FABC35" w14:textId="77777777" w:rsidR="001F4D78" w:rsidRDefault="000D2E03">
            <w:pPr>
              <w:rPr>
                <w:rFonts w:ascii="Poppins" w:hAnsi="Poppins" w:cs="Poppins"/>
              </w:rPr>
            </w:pPr>
            <w:r>
              <w:rPr>
                <w:rFonts w:ascii="Poppins" w:hAnsi="Poppins" w:cs="Poppins"/>
              </w:rPr>
              <w:t xml:space="preserve">If a complaint is not </w:t>
            </w:r>
            <w:proofErr w:type="gramStart"/>
            <w:r>
              <w:rPr>
                <w:rFonts w:ascii="Poppins" w:hAnsi="Poppins" w:cs="Poppins"/>
              </w:rPr>
              <w:t>resolved</w:t>
            </w:r>
            <w:proofErr w:type="gramEnd"/>
            <w:r>
              <w:rPr>
                <w:rFonts w:ascii="Poppins" w:hAnsi="Poppins" w:cs="Poppins"/>
              </w:rPr>
              <w:t xml:space="preserve"> you may have the right to complain to the Financial Ombudsman Services or Financial Ombudsman Service for Small Businesses depending on the type of organisation you are.  To check whether you are eligible, the Ombudsman may ask you confirm your annual turnover, number of employees and type of business.</w:t>
            </w:r>
          </w:p>
          <w:p w14:paraId="20B9AA79" w14:textId="13130786" w:rsidR="000D2E03" w:rsidRPr="00FA334F" w:rsidRDefault="000D2E03">
            <w:pPr>
              <w:rPr>
                <w:rFonts w:ascii="Poppins" w:hAnsi="Poppins" w:cs="Poppins"/>
              </w:rPr>
            </w:pPr>
            <w:r>
              <w:rPr>
                <w:rFonts w:ascii="Poppins" w:hAnsi="Poppins" w:cs="Poppins"/>
              </w:rPr>
              <w:t xml:space="preserve">This page explains which small businesses can be helped - </w:t>
            </w:r>
            <w:r w:rsidRPr="000D2E03">
              <w:rPr>
                <w:rFonts w:ascii="Poppins" w:hAnsi="Poppins" w:cs="Poppins"/>
              </w:rPr>
              <w:t>https://sme.financial-ombudsman.org.uk/complain/can-help</w:t>
            </w:r>
          </w:p>
        </w:tc>
      </w:tr>
      <w:tr w:rsidR="00596175" w:rsidRPr="00FA334F" w14:paraId="4259F61F" w14:textId="77777777" w:rsidTr="00485B05">
        <w:trPr>
          <w:tblCellSpacing w:w="15" w:type="dxa"/>
        </w:trPr>
        <w:tc>
          <w:tcPr>
            <w:tcW w:w="1176" w:type="pct"/>
            <w:tcBorders>
              <w:top w:val="single" w:sz="6" w:space="0" w:color="auto"/>
              <w:left w:val="single" w:sz="6" w:space="0" w:color="auto"/>
              <w:bottom w:val="single" w:sz="6" w:space="0" w:color="auto"/>
              <w:right w:val="single" w:sz="6" w:space="0" w:color="auto"/>
            </w:tcBorders>
            <w:vAlign w:val="center"/>
            <w:hideMark/>
          </w:tcPr>
          <w:p w14:paraId="7D974C28" w14:textId="77777777" w:rsidR="00596175" w:rsidRPr="00FA334F" w:rsidRDefault="00596175">
            <w:pPr>
              <w:rPr>
                <w:rFonts w:ascii="Poppins" w:hAnsi="Poppins" w:cs="Poppins"/>
              </w:rPr>
            </w:pPr>
            <w:r w:rsidRPr="00FA334F">
              <w:rPr>
                <w:rFonts w:ascii="Poppins" w:hAnsi="Poppins" w:cs="Poppins"/>
                <w:b/>
                <w:bCs/>
              </w:rPr>
              <w:t>Website</w:t>
            </w:r>
          </w:p>
        </w:tc>
        <w:tc>
          <w:tcPr>
            <w:tcW w:w="3777" w:type="pct"/>
            <w:tcBorders>
              <w:top w:val="single" w:sz="6" w:space="0" w:color="auto"/>
              <w:left w:val="single" w:sz="6" w:space="0" w:color="auto"/>
              <w:bottom w:val="single" w:sz="6" w:space="0" w:color="auto"/>
              <w:right w:val="single" w:sz="6" w:space="0" w:color="auto"/>
            </w:tcBorders>
            <w:vAlign w:val="center"/>
            <w:hideMark/>
          </w:tcPr>
          <w:p w14:paraId="45B92E62" w14:textId="77777777" w:rsidR="00596175" w:rsidRDefault="00661AAF">
            <w:hyperlink r:id="rId16" w:history="1">
              <w:r w:rsidRPr="00FA334F">
                <w:rPr>
                  <w:rStyle w:val="Hyperlink"/>
                  <w:rFonts w:ascii="Poppins" w:hAnsi="Poppins" w:cs="Poppins"/>
                </w:rPr>
                <w:t>www.financial-ombudsman.org.uk</w:t>
              </w:r>
            </w:hyperlink>
          </w:p>
          <w:p w14:paraId="305184A2" w14:textId="1A57B263" w:rsidR="000D2E03" w:rsidRPr="00FA334F" w:rsidRDefault="000D2E03">
            <w:pPr>
              <w:rPr>
                <w:rFonts w:ascii="Poppins" w:hAnsi="Poppins" w:cs="Poppins"/>
              </w:rPr>
            </w:pPr>
            <w:r w:rsidRPr="000D2E03">
              <w:rPr>
                <w:rFonts w:ascii="Poppins" w:hAnsi="Poppins" w:cs="Poppins"/>
              </w:rPr>
              <w:t>sme.financial-ombudsman.org.uk</w:t>
            </w:r>
          </w:p>
        </w:tc>
      </w:tr>
      <w:tr w:rsidR="00596175" w:rsidRPr="00FA334F" w14:paraId="1A5D1855" w14:textId="77777777" w:rsidTr="00485B05">
        <w:trPr>
          <w:tblCellSpacing w:w="15" w:type="dxa"/>
        </w:trPr>
        <w:tc>
          <w:tcPr>
            <w:tcW w:w="1176" w:type="pct"/>
            <w:tcBorders>
              <w:top w:val="single" w:sz="6" w:space="0" w:color="auto"/>
              <w:left w:val="single" w:sz="6" w:space="0" w:color="auto"/>
              <w:bottom w:val="single" w:sz="6" w:space="0" w:color="auto"/>
              <w:right w:val="single" w:sz="6" w:space="0" w:color="auto"/>
            </w:tcBorders>
            <w:vAlign w:val="center"/>
            <w:hideMark/>
          </w:tcPr>
          <w:p w14:paraId="1043D0BE" w14:textId="77777777" w:rsidR="00596175" w:rsidRPr="00FA334F" w:rsidRDefault="00596175">
            <w:pPr>
              <w:rPr>
                <w:rFonts w:ascii="Poppins" w:hAnsi="Poppins" w:cs="Poppins"/>
              </w:rPr>
            </w:pPr>
            <w:r w:rsidRPr="00FA334F">
              <w:rPr>
                <w:rFonts w:ascii="Poppins" w:hAnsi="Poppins" w:cs="Poppins"/>
                <w:b/>
                <w:bCs/>
              </w:rPr>
              <w:t>Phone</w:t>
            </w:r>
          </w:p>
        </w:tc>
        <w:tc>
          <w:tcPr>
            <w:tcW w:w="3777" w:type="pct"/>
            <w:tcBorders>
              <w:top w:val="single" w:sz="6" w:space="0" w:color="auto"/>
              <w:left w:val="single" w:sz="6" w:space="0" w:color="auto"/>
              <w:bottom w:val="single" w:sz="6" w:space="0" w:color="auto"/>
              <w:right w:val="single" w:sz="6" w:space="0" w:color="auto"/>
            </w:tcBorders>
            <w:vAlign w:val="center"/>
            <w:hideMark/>
          </w:tcPr>
          <w:p w14:paraId="14ABB575" w14:textId="3E997FB8" w:rsidR="00596175" w:rsidRPr="00FA334F" w:rsidRDefault="00585F5D">
            <w:pPr>
              <w:rPr>
                <w:rFonts w:ascii="Poppins" w:hAnsi="Poppins" w:cs="Poppins"/>
              </w:rPr>
            </w:pPr>
            <w:r w:rsidRPr="00585F5D">
              <w:rPr>
                <w:rFonts w:ascii="Poppins" w:hAnsi="Poppins" w:cs="Poppins"/>
              </w:rPr>
              <w:t>0808</w:t>
            </w:r>
            <w:r>
              <w:rPr>
                <w:rFonts w:ascii="Poppins" w:hAnsi="Poppins" w:cs="Poppins"/>
              </w:rPr>
              <w:t xml:space="preserve"> </w:t>
            </w:r>
            <w:r w:rsidRPr="00585F5D">
              <w:rPr>
                <w:rFonts w:ascii="Poppins" w:hAnsi="Poppins" w:cs="Poppins"/>
              </w:rPr>
              <w:t>808</w:t>
            </w:r>
            <w:r>
              <w:rPr>
                <w:rFonts w:ascii="Poppins" w:hAnsi="Poppins" w:cs="Poppins"/>
              </w:rPr>
              <w:t xml:space="preserve"> </w:t>
            </w:r>
            <w:r w:rsidRPr="00585F5D">
              <w:rPr>
                <w:rFonts w:ascii="Poppins" w:hAnsi="Poppins" w:cs="Poppins"/>
              </w:rPr>
              <w:t>2288</w:t>
            </w:r>
          </w:p>
        </w:tc>
      </w:tr>
    </w:tbl>
    <w:p w14:paraId="1A9C4A35" w14:textId="77777777" w:rsidR="00A21B12" w:rsidRDefault="00A21B12" w:rsidP="005F45F0">
      <w:pPr>
        <w:pStyle w:val="Heading2"/>
      </w:pPr>
    </w:p>
    <w:sectPr w:rsidR="00A21B12" w:rsidSect="00034616">
      <w:headerReference w:type="even" r:id="rId17"/>
      <w:headerReference w:type="default" r:id="rId18"/>
      <w:footerReference w:type="even" r:id="rId19"/>
      <w:footerReference w:type="default" r:id="rId20"/>
      <w:headerReference w:type="first" r:id="rId21"/>
      <w:footerReference w:type="first" r:id="rId22"/>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8D9B9D" w14:textId="77777777" w:rsidR="00923A37" w:rsidRDefault="00923A37" w:rsidP="00030F49">
      <w:pPr>
        <w:spacing w:after="0" w:line="240" w:lineRule="auto"/>
      </w:pPr>
      <w:r>
        <w:separator/>
      </w:r>
    </w:p>
  </w:endnote>
  <w:endnote w:type="continuationSeparator" w:id="0">
    <w:p w14:paraId="19A228CD" w14:textId="77777777" w:rsidR="00923A37" w:rsidRDefault="00923A37" w:rsidP="00030F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Poppins">
    <w:panose1 w:val="00000500000000000000"/>
    <w:charset w:val="00"/>
    <w:family w:val="auto"/>
    <w:pitch w:val="variable"/>
    <w:sig w:usb0="00008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C1C21C" w14:textId="77777777" w:rsidR="00030F49" w:rsidRDefault="00030F4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D8D34" w14:textId="77777777" w:rsidR="00030F49" w:rsidRDefault="00030F49">
    <w:pPr>
      <w:pStyle w:val="Footer"/>
    </w:pPr>
  </w:p>
  <w:p w14:paraId="46978A8D" w14:textId="008C6232" w:rsidR="00030F49" w:rsidRDefault="009B1B5D" w:rsidP="00030F49">
    <w:pPr>
      <w:pStyle w:val="Footer"/>
    </w:pPr>
    <w:fldSimple w:instr=" DOCPROPERTY iManageFooter \* MERGEFORMAT ">
      <w:r w:rsidRPr="005F45F0">
        <w:rPr>
          <w:rFonts w:ascii="Arial" w:hAnsi="Arial" w:cs="Arial"/>
          <w:sz w:val="16"/>
        </w:rPr>
        <w:t>99062554.1</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976E9" w14:textId="77777777" w:rsidR="00030F49" w:rsidRDefault="00030F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200522" w14:textId="77777777" w:rsidR="00923A37" w:rsidRDefault="00923A37" w:rsidP="00030F49">
      <w:pPr>
        <w:spacing w:after="0" w:line="240" w:lineRule="auto"/>
      </w:pPr>
      <w:r>
        <w:separator/>
      </w:r>
    </w:p>
  </w:footnote>
  <w:footnote w:type="continuationSeparator" w:id="0">
    <w:p w14:paraId="6723B9F3" w14:textId="77777777" w:rsidR="00923A37" w:rsidRDefault="00923A37" w:rsidP="00030F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7A95F" w14:textId="77777777" w:rsidR="00030F49" w:rsidRDefault="00030F4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EF1DF" w14:textId="77777777" w:rsidR="00030F49" w:rsidRDefault="00030F4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6CAA60" w14:textId="77777777" w:rsidR="00030F49" w:rsidRDefault="00030F4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23E83143"/>
    <w:multiLevelType w:val="multilevel"/>
    <w:tmpl w:val="1308A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68642765">
    <w:abstractNumId w:val="8"/>
  </w:num>
  <w:num w:numId="2" w16cid:durableId="853030166">
    <w:abstractNumId w:val="6"/>
  </w:num>
  <w:num w:numId="3" w16cid:durableId="1723821586">
    <w:abstractNumId w:val="5"/>
  </w:num>
  <w:num w:numId="4" w16cid:durableId="606423638">
    <w:abstractNumId w:val="4"/>
  </w:num>
  <w:num w:numId="5" w16cid:durableId="1902787791">
    <w:abstractNumId w:val="7"/>
  </w:num>
  <w:num w:numId="6" w16cid:durableId="481969991">
    <w:abstractNumId w:val="3"/>
  </w:num>
  <w:num w:numId="7" w16cid:durableId="1382823773">
    <w:abstractNumId w:val="2"/>
  </w:num>
  <w:num w:numId="8" w16cid:durableId="1994289782">
    <w:abstractNumId w:val="1"/>
  </w:num>
  <w:num w:numId="9" w16cid:durableId="1789155625">
    <w:abstractNumId w:val="0"/>
  </w:num>
  <w:num w:numId="10" w16cid:durableId="83761907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0C1C"/>
    <w:rsid w:val="00005D13"/>
    <w:rsid w:val="00030F49"/>
    <w:rsid w:val="00034616"/>
    <w:rsid w:val="000527FB"/>
    <w:rsid w:val="0006063C"/>
    <w:rsid w:val="0006628B"/>
    <w:rsid w:val="000956C8"/>
    <w:rsid w:val="000A2122"/>
    <w:rsid w:val="000D2E03"/>
    <w:rsid w:val="000F32C9"/>
    <w:rsid w:val="00101B07"/>
    <w:rsid w:val="0010732C"/>
    <w:rsid w:val="001337F2"/>
    <w:rsid w:val="0014179A"/>
    <w:rsid w:val="001435B0"/>
    <w:rsid w:val="0015074B"/>
    <w:rsid w:val="00154466"/>
    <w:rsid w:val="0017675C"/>
    <w:rsid w:val="0018390F"/>
    <w:rsid w:val="001939BE"/>
    <w:rsid w:val="0019642B"/>
    <w:rsid w:val="001B11FF"/>
    <w:rsid w:val="001B6CE3"/>
    <w:rsid w:val="001C15C6"/>
    <w:rsid w:val="001F34B0"/>
    <w:rsid w:val="001F4D78"/>
    <w:rsid w:val="00211318"/>
    <w:rsid w:val="00242454"/>
    <w:rsid w:val="00243317"/>
    <w:rsid w:val="0024452C"/>
    <w:rsid w:val="00251763"/>
    <w:rsid w:val="00254D34"/>
    <w:rsid w:val="002625A4"/>
    <w:rsid w:val="002660D1"/>
    <w:rsid w:val="00292B92"/>
    <w:rsid w:val="0029639D"/>
    <w:rsid w:val="002A2259"/>
    <w:rsid w:val="002C2170"/>
    <w:rsid w:val="002D72D9"/>
    <w:rsid w:val="002E29F9"/>
    <w:rsid w:val="00326F90"/>
    <w:rsid w:val="0033207D"/>
    <w:rsid w:val="00333FBC"/>
    <w:rsid w:val="00351BB2"/>
    <w:rsid w:val="003609DB"/>
    <w:rsid w:val="00376AFC"/>
    <w:rsid w:val="00386D7A"/>
    <w:rsid w:val="003A670E"/>
    <w:rsid w:val="003B22B6"/>
    <w:rsid w:val="00411B56"/>
    <w:rsid w:val="00430707"/>
    <w:rsid w:val="00451F52"/>
    <w:rsid w:val="004541F7"/>
    <w:rsid w:val="0046424A"/>
    <w:rsid w:val="00465D48"/>
    <w:rsid w:val="004701FF"/>
    <w:rsid w:val="00485B05"/>
    <w:rsid w:val="004874AA"/>
    <w:rsid w:val="004B0968"/>
    <w:rsid w:val="00532E81"/>
    <w:rsid w:val="00536CE0"/>
    <w:rsid w:val="00551049"/>
    <w:rsid w:val="005518DE"/>
    <w:rsid w:val="00555ED0"/>
    <w:rsid w:val="00562BC1"/>
    <w:rsid w:val="00585F5D"/>
    <w:rsid w:val="00586586"/>
    <w:rsid w:val="00596175"/>
    <w:rsid w:val="005A317F"/>
    <w:rsid w:val="005B1CDF"/>
    <w:rsid w:val="005C3B76"/>
    <w:rsid w:val="005C6CCE"/>
    <w:rsid w:val="005E1C16"/>
    <w:rsid w:val="005E5365"/>
    <w:rsid w:val="005F0087"/>
    <w:rsid w:val="005F45F0"/>
    <w:rsid w:val="00620FB8"/>
    <w:rsid w:val="00631BEB"/>
    <w:rsid w:val="006332F6"/>
    <w:rsid w:val="0064512C"/>
    <w:rsid w:val="00650072"/>
    <w:rsid w:val="006565A1"/>
    <w:rsid w:val="00661AAF"/>
    <w:rsid w:val="00670CCA"/>
    <w:rsid w:val="0067400D"/>
    <w:rsid w:val="00683A4E"/>
    <w:rsid w:val="00684789"/>
    <w:rsid w:val="006E7EC5"/>
    <w:rsid w:val="006F6AEA"/>
    <w:rsid w:val="00724F7A"/>
    <w:rsid w:val="00760D46"/>
    <w:rsid w:val="00767059"/>
    <w:rsid w:val="00781869"/>
    <w:rsid w:val="007B56CB"/>
    <w:rsid w:val="007B6424"/>
    <w:rsid w:val="007C2F77"/>
    <w:rsid w:val="00832108"/>
    <w:rsid w:val="00836AE1"/>
    <w:rsid w:val="00850DE9"/>
    <w:rsid w:val="0085358F"/>
    <w:rsid w:val="00875CF6"/>
    <w:rsid w:val="00897137"/>
    <w:rsid w:val="008B1AEA"/>
    <w:rsid w:val="008C55E3"/>
    <w:rsid w:val="008D7F42"/>
    <w:rsid w:val="008F5515"/>
    <w:rsid w:val="009132A9"/>
    <w:rsid w:val="00923A37"/>
    <w:rsid w:val="00926313"/>
    <w:rsid w:val="0093191D"/>
    <w:rsid w:val="009346FB"/>
    <w:rsid w:val="00934C15"/>
    <w:rsid w:val="00941C71"/>
    <w:rsid w:val="009537DC"/>
    <w:rsid w:val="0096040F"/>
    <w:rsid w:val="00960BF4"/>
    <w:rsid w:val="00967AA3"/>
    <w:rsid w:val="00985E62"/>
    <w:rsid w:val="00990611"/>
    <w:rsid w:val="009A01F9"/>
    <w:rsid w:val="009A3B7D"/>
    <w:rsid w:val="009B1B5D"/>
    <w:rsid w:val="009B3F63"/>
    <w:rsid w:val="009C23F3"/>
    <w:rsid w:val="009C5B4E"/>
    <w:rsid w:val="009C69D7"/>
    <w:rsid w:val="009D1041"/>
    <w:rsid w:val="009D7BDD"/>
    <w:rsid w:val="009E2638"/>
    <w:rsid w:val="009E4BB3"/>
    <w:rsid w:val="009F6DA6"/>
    <w:rsid w:val="00A130CC"/>
    <w:rsid w:val="00A17830"/>
    <w:rsid w:val="00A21B12"/>
    <w:rsid w:val="00A22918"/>
    <w:rsid w:val="00A407E3"/>
    <w:rsid w:val="00A62419"/>
    <w:rsid w:val="00A628E6"/>
    <w:rsid w:val="00A72F67"/>
    <w:rsid w:val="00A764F0"/>
    <w:rsid w:val="00A82C92"/>
    <w:rsid w:val="00AA1D8D"/>
    <w:rsid w:val="00AC226C"/>
    <w:rsid w:val="00AC3E8C"/>
    <w:rsid w:val="00AC6FC6"/>
    <w:rsid w:val="00AC78B7"/>
    <w:rsid w:val="00AE0E14"/>
    <w:rsid w:val="00AE555C"/>
    <w:rsid w:val="00B21C9E"/>
    <w:rsid w:val="00B32355"/>
    <w:rsid w:val="00B4004A"/>
    <w:rsid w:val="00B47730"/>
    <w:rsid w:val="00B96847"/>
    <w:rsid w:val="00B96CB2"/>
    <w:rsid w:val="00BA009F"/>
    <w:rsid w:val="00BC0BE6"/>
    <w:rsid w:val="00BD6B0B"/>
    <w:rsid w:val="00C22577"/>
    <w:rsid w:val="00C267AF"/>
    <w:rsid w:val="00C33A94"/>
    <w:rsid w:val="00C36C6A"/>
    <w:rsid w:val="00C41F99"/>
    <w:rsid w:val="00C635EE"/>
    <w:rsid w:val="00C6638A"/>
    <w:rsid w:val="00C6786E"/>
    <w:rsid w:val="00C71E02"/>
    <w:rsid w:val="00C81842"/>
    <w:rsid w:val="00C84279"/>
    <w:rsid w:val="00C87432"/>
    <w:rsid w:val="00CB0664"/>
    <w:rsid w:val="00CD4878"/>
    <w:rsid w:val="00D015F5"/>
    <w:rsid w:val="00D33997"/>
    <w:rsid w:val="00D35A05"/>
    <w:rsid w:val="00D53044"/>
    <w:rsid w:val="00D56A17"/>
    <w:rsid w:val="00D56C08"/>
    <w:rsid w:val="00D938DE"/>
    <w:rsid w:val="00D96155"/>
    <w:rsid w:val="00DE58AF"/>
    <w:rsid w:val="00DF4EAC"/>
    <w:rsid w:val="00E002C2"/>
    <w:rsid w:val="00E12EF1"/>
    <w:rsid w:val="00E31A73"/>
    <w:rsid w:val="00E320AE"/>
    <w:rsid w:val="00E571E2"/>
    <w:rsid w:val="00E74C25"/>
    <w:rsid w:val="00E84C64"/>
    <w:rsid w:val="00E93983"/>
    <w:rsid w:val="00EB64F8"/>
    <w:rsid w:val="00ED4949"/>
    <w:rsid w:val="00EF30AE"/>
    <w:rsid w:val="00EF46E3"/>
    <w:rsid w:val="00F10739"/>
    <w:rsid w:val="00F1474E"/>
    <w:rsid w:val="00F207CD"/>
    <w:rsid w:val="00F2678A"/>
    <w:rsid w:val="00F35475"/>
    <w:rsid w:val="00F40DBB"/>
    <w:rsid w:val="00F56393"/>
    <w:rsid w:val="00F61DFD"/>
    <w:rsid w:val="00F83A5C"/>
    <w:rsid w:val="00F97555"/>
    <w:rsid w:val="00FA334F"/>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B8B61C9"/>
  <w14:defaultImageDpi w14:val="330"/>
  <w15:docId w15:val="{A0612523-00B0-43CA-BFB7-9540F36124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lang w:val="en-GB"/>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46424A"/>
    <w:rPr>
      <w:color w:val="0000FF" w:themeColor="hyperlink"/>
      <w:u w:val="single"/>
    </w:rPr>
  </w:style>
  <w:style w:type="character" w:styleId="UnresolvedMention">
    <w:name w:val="Unresolved Mention"/>
    <w:basedOn w:val="DefaultParagraphFont"/>
    <w:uiPriority w:val="99"/>
    <w:semiHidden/>
    <w:unhideWhenUsed/>
    <w:rsid w:val="0046424A"/>
    <w:rPr>
      <w:color w:val="605E5C"/>
      <w:shd w:val="clear" w:color="auto" w:fill="E1DFDD"/>
    </w:rPr>
  </w:style>
  <w:style w:type="character" w:styleId="CommentReference">
    <w:name w:val="annotation reference"/>
    <w:basedOn w:val="DefaultParagraphFont"/>
    <w:uiPriority w:val="99"/>
    <w:semiHidden/>
    <w:unhideWhenUsed/>
    <w:rsid w:val="00781869"/>
    <w:rPr>
      <w:sz w:val="16"/>
      <w:szCs w:val="16"/>
    </w:rPr>
  </w:style>
  <w:style w:type="paragraph" w:styleId="CommentText">
    <w:name w:val="annotation text"/>
    <w:basedOn w:val="Normal"/>
    <w:link w:val="CommentTextChar"/>
    <w:uiPriority w:val="99"/>
    <w:unhideWhenUsed/>
    <w:rsid w:val="00781869"/>
    <w:pPr>
      <w:spacing w:line="240" w:lineRule="auto"/>
    </w:pPr>
    <w:rPr>
      <w:sz w:val="20"/>
      <w:szCs w:val="20"/>
    </w:rPr>
  </w:style>
  <w:style w:type="character" w:customStyle="1" w:styleId="CommentTextChar">
    <w:name w:val="Comment Text Char"/>
    <w:basedOn w:val="DefaultParagraphFont"/>
    <w:link w:val="CommentText"/>
    <w:uiPriority w:val="99"/>
    <w:rsid w:val="00781869"/>
    <w:rPr>
      <w:sz w:val="20"/>
      <w:szCs w:val="20"/>
    </w:rPr>
  </w:style>
  <w:style w:type="paragraph" w:styleId="CommentSubject">
    <w:name w:val="annotation subject"/>
    <w:basedOn w:val="CommentText"/>
    <w:next w:val="CommentText"/>
    <w:link w:val="CommentSubjectChar"/>
    <w:uiPriority w:val="99"/>
    <w:semiHidden/>
    <w:unhideWhenUsed/>
    <w:rsid w:val="00781869"/>
    <w:rPr>
      <w:b/>
      <w:bCs/>
    </w:rPr>
  </w:style>
  <w:style w:type="character" w:customStyle="1" w:styleId="CommentSubjectChar">
    <w:name w:val="Comment Subject Char"/>
    <w:basedOn w:val="CommentTextChar"/>
    <w:link w:val="CommentSubject"/>
    <w:uiPriority w:val="99"/>
    <w:semiHidden/>
    <w:rsid w:val="00781869"/>
    <w:rPr>
      <w:b/>
      <w:bCs/>
      <w:sz w:val="20"/>
      <w:szCs w:val="20"/>
    </w:rPr>
  </w:style>
  <w:style w:type="paragraph" w:styleId="Revision">
    <w:name w:val="Revision"/>
    <w:hidden/>
    <w:uiPriority w:val="99"/>
    <w:semiHidden/>
    <w:rsid w:val="00555ED0"/>
    <w:pPr>
      <w:spacing w:after="0" w:line="240" w:lineRule="auto"/>
    </w:pPr>
    <w:rPr>
      <w:lang w:val="en-GB"/>
    </w:rPr>
  </w:style>
  <w:style w:type="character" w:styleId="FollowedHyperlink">
    <w:name w:val="FollowedHyperlink"/>
    <w:basedOn w:val="DefaultParagraphFont"/>
    <w:uiPriority w:val="99"/>
    <w:semiHidden/>
    <w:unhideWhenUsed/>
    <w:rsid w:val="0099061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localenergy.scot/funding/community-energy-generation-growth-fund/"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tyles" Target="styles.xml"/><Relationship Id="rId12" Type="http://schemas.openxmlformats.org/officeDocument/2006/relationships/hyperlink" Target="mailto:info@localenergy.scot"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financial-ombudsman.org.uk"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localenergy.scot/customer-complaints-process/"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localenergy.scot/funding/subsidy-control-information/"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18C99BB3FB19A4AA3FDE5330858E44E" ma:contentTypeVersion="" ma:contentTypeDescription="Create a new document." ma:contentTypeScope="" ma:versionID="51c3e7540b026e7b04ae77ba3c440959">
  <xsd:schema xmlns:xsd="http://www.w3.org/2001/XMLSchema" xmlns:xs="http://www.w3.org/2001/XMLSchema" xmlns:p="http://schemas.microsoft.com/office/2006/metadata/properties" xmlns:ns2="02586926-355f-4e83-b151-9d24a1c704ad" xmlns:ns3="f2c924e2-7fc1-4d70-a6e5-114da4462c16" xmlns:ns4="fa73f158-c24c-498f-ba81-012acab6e511" targetNamespace="http://schemas.microsoft.com/office/2006/metadata/properties" ma:root="true" ma:fieldsID="567a418075a812c281d1e0a364a6d2f6" ns2:_="" ns3:_="" ns4:_="">
    <xsd:import namespace="02586926-355f-4e83-b151-9d24a1c704ad"/>
    <xsd:import namespace="f2c924e2-7fc1-4d70-a6e5-114da4462c16"/>
    <xsd:import namespace="fa73f158-c24c-498f-ba81-012acab6e511"/>
    <xsd:element name="properties">
      <xsd:complexType>
        <xsd:sequence>
          <xsd:element name="documentManagement">
            <xsd:complexType>
              <xsd:all>
                <xsd:element ref="ns2:TaxKeywordTaxHTField" minOccurs="0"/>
                <xsd:element ref="ns2:TaxCatchAll" minOccurs="0"/>
                <xsd:element ref="ns3:SharedWithUsers" minOccurs="0"/>
                <xsd:element ref="ns3:SharingHintHash" minOccurs="0"/>
                <xsd:element ref="ns3:SharedWithDetails" minOccurs="0"/>
                <xsd:element ref="ns3:LastSharedByUser" minOccurs="0"/>
                <xsd:element ref="ns3:LastSharedByTime" minOccurs="0"/>
                <xsd:element ref="ns4:MediaServiceMetadata" minOccurs="0"/>
                <xsd:element ref="ns4:MediaServiceFastMetadata" minOccurs="0"/>
                <xsd:element ref="ns4:MediaServiceAutoTags" minOccurs="0"/>
                <xsd:element ref="ns4:MediaServiceDateTaken" minOccurs="0"/>
                <xsd:element ref="ns4:MediaServiceLocation" minOccurs="0"/>
                <xsd:element ref="ns4:MediaServiceOCR" minOccurs="0"/>
                <xsd:element ref="ns4:MediaServiceEventHashCode" minOccurs="0"/>
                <xsd:element ref="ns4:MediaServiceGenerationTime" minOccurs="0"/>
                <xsd:element ref="ns4:MediaServiceAutoKeyPoints" minOccurs="0"/>
                <xsd:element ref="ns4:MediaServiceKeyPoints" minOccurs="0"/>
                <xsd:element ref="ns4:MediaLengthInSeconds" minOccurs="0"/>
                <xsd:element ref="ns4:lcf76f155ced4ddcb4097134ff3c332f" minOccurs="0"/>
                <xsd:element ref="ns4:MediaServiceObjectDetectorVersions" minOccurs="0"/>
                <xsd:element ref="ns4:MediaServiceSearchProperties"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586926-355f-4e83-b151-9d24a1c704ad" elementFormDefault="qualified">
    <xsd:import namespace="http://schemas.microsoft.com/office/2006/documentManagement/types"/>
    <xsd:import namespace="http://schemas.microsoft.com/office/infopath/2007/PartnerControls"/>
    <xsd:element name="TaxKeywordTaxHTField" ma:index="9" nillable="true" ma:taxonomy="true" ma:internalName="TaxKeywordTaxHTField" ma:taxonomyFieldName="TaxKeyword" ma:displayName="Enterprise Keywords" ma:fieldId="{23f27201-bee3-471e-b2e7-b64fd8b7ca38}" ma:taxonomyMulti="true" ma:sspId="31b33426-b670-4d47-8354-2924737a9fef" ma:termSetId="00000000-0000-0000-0000-000000000000" ma:anchorId="00000000-0000-0000-0000-000000000000" ma:open="true" ma:isKeyword="true">
      <xsd:complexType>
        <xsd:sequence>
          <xsd:element ref="pc:Terms" minOccurs="0" maxOccurs="1"/>
        </xsd:sequence>
      </xsd:complexType>
    </xsd:element>
    <xsd:element name="TaxCatchAll" ma:index="10" nillable="true" ma:displayName="Taxonomy Catch All Column" ma:hidden="true" ma:list="{DFBE2E67-F8F0-4261-8319-DE291136969C}" ma:internalName="TaxCatchAll" ma:showField="CatchAllData" ma:web="{f2c924e2-7fc1-4d70-a6e5-114da4462c1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2c924e2-7fc1-4d70-a6e5-114da4462c16"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2" nillable="true" ma:displayName="Sharing Hint Hash" ma:internalName="SharingHintHash" ma:readOnly="true">
      <xsd:simpleType>
        <xsd:restriction base="dms:Text"/>
      </xsd:simpleType>
    </xsd:element>
    <xsd:element name="SharedWithDetails" ma:index="13" nillable="true" ma:displayName="Shared With Details" ma:description="" ma:internalName="SharedWithDetails" ma:readOnly="true">
      <xsd:simpleType>
        <xsd:restriction base="dms:Note">
          <xsd:maxLength value="255"/>
        </xsd:restriction>
      </xsd:simpleType>
    </xsd:element>
    <xsd:element name="LastSharedByUser" ma:index="14" nillable="true" ma:displayName="Last Shared By User" ma:description="" ma:internalName="LastSharedByUser" ma:readOnly="true">
      <xsd:simpleType>
        <xsd:restriction base="dms:Note">
          <xsd:maxLength value="255"/>
        </xsd:restriction>
      </xsd:simpleType>
    </xsd:element>
    <xsd:element name="LastSharedByTime" ma:index="15"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fa73f158-c24c-498f-ba81-012acab6e511" elementFormDefault="qualified">
    <xsd:import namespace="http://schemas.microsoft.com/office/2006/documentManagement/types"/>
    <xsd:import namespace="http://schemas.microsoft.com/office/infopath/2007/PartnerControls"/>
    <xsd:element name="MediaServiceMetadata" ma:index="16" nillable="true" ma:displayName="MediaServiceMetadata" ma:description="" ma:hidden="true" ma:internalName="MediaServiceMetadata" ma:readOnly="true">
      <xsd:simpleType>
        <xsd:restriction base="dms:Note"/>
      </xsd:simpleType>
    </xsd:element>
    <xsd:element name="MediaServiceFastMetadata" ma:index="17" nillable="true" ma:displayName="MediaServiceFastMetadata" ma:description="" ma:hidden="true" ma:internalName="MediaServiceFastMetadata" ma:readOnly="true">
      <xsd:simpleType>
        <xsd:restriction base="dms:Note"/>
      </xsd:simpleType>
    </xsd:element>
    <xsd:element name="MediaServiceAutoTags" ma:index="18" nillable="true" ma:displayName="MediaServiceAutoTags" ma:description="" ma:internalName="MediaServiceAutoTags" ma:readOnly="true">
      <xsd:simpleType>
        <xsd:restriction base="dms:Text"/>
      </xsd:simpleType>
    </xsd:element>
    <xsd:element name="MediaServiceDateTaken" ma:index="19" nillable="true" ma:displayName="MediaServiceDateTaken" ma:description="" ma:hidden="true" ma:internalName="MediaServiceDateTaken" ma:readOnly="true">
      <xsd:simpleType>
        <xsd:restriction base="dms:Text"/>
      </xsd:simpleType>
    </xsd:element>
    <xsd:element name="MediaServiceLocation" ma:index="20" nillable="true" ma:displayName="MediaServiceLocation" ma:description="" ma:internalName="MediaServiceLocation" ma:readOnly="true">
      <xsd:simpleType>
        <xsd:restriction base="dms:Text"/>
      </xsd:simpleType>
    </xsd:element>
    <xsd:element name="MediaServiceOCR" ma:index="21" nillable="true" ma:displayName="MediaServiceOCR" ma:internalName="MediaServiceOCR" ma:readOnly="true">
      <xsd:simpleType>
        <xsd:restriction base="dms:Note">
          <xsd:maxLength value="255"/>
        </xsd:restriction>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AutoKeyPoints" ma:index="24" nillable="true" ma:displayName="MediaServiceAutoKeyPoints" ma:hidden="true" ma:internalName="MediaServiceAutoKeyPoints" ma:readOnly="true">
      <xsd:simpleType>
        <xsd:restriction base="dms:Note"/>
      </xsd:simpleType>
    </xsd:element>
    <xsd:element name="MediaServiceKeyPoints" ma:index="25" nillable="true" ma:displayName="KeyPoints" ma:internalName="MediaServiceKeyPoints" ma:readOnly="true">
      <xsd:simpleType>
        <xsd:restriction base="dms:Note">
          <xsd:maxLength value="255"/>
        </xsd:restriction>
      </xsd:simpleType>
    </xsd:element>
    <xsd:element name="MediaLengthInSeconds" ma:index="26" nillable="true" ma:displayName="Length (seconds)" ma:internalName="MediaLengthInSeconds" ma:readOnly="true">
      <xsd:simpleType>
        <xsd:restriction base="dms:Unknown"/>
      </xsd:simpleType>
    </xsd:element>
    <xsd:element name="lcf76f155ced4ddcb4097134ff3c332f" ma:index="28" nillable="true" ma:taxonomy="true" ma:internalName="lcf76f155ced4ddcb4097134ff3c332f" ma:taxonomyFieldName="MediaServiceImageTags" ma:displayName="Image Tags" ma:readOnly="false" ma:fieldId="{5cf76f15-5ced-4ddc-b409-7134ff3c332f}" ma:taxonomyMulti="true" ma:sspId="31b33426-b670-4d47-8354-2924737a9fe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element name="MediaServiceBillingMetadata" ma:index="31"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1 6 " ? > < p r o p e r t i e s   x m l n s = " h t t p : / / w w w . i m a n a g e . c o m / w o r k / x m l s c h e m a " >  
     < d o c u m e n t i d > T L T ! 9 9 0 6 2 5 5 4 . 1 < / d o c u m e n t i d >  
     < s e n d e r i d > C X 0 2 < / s e n d e r i d >  
     < s e n d e r e m a i l > C A T H E R I N E . M A C P H E R S O N @ T L T . C O M < / s e n d e r e m a i l >  
     < l a s t m o d i f i e d > 2 0 2 6 - 0 6 - 2 5 T 1 8 : 1 4 : 0 0 . 0 0 0 0 0 0 0 + 0 1 : 0 0 < / l a s t m o d i f i e d >  
     < d a t a b a s e > T L T < / d a t a b a s e >  
 < / 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a73f158-c24c-498f-ba81-012acab6e511">
      <Terms xmlns="http://schemas.microsoft.com/office/infopath/2007/PartnerControls"/>
    </lcf76f155ced4ddcb4097134ff3c332f>
    <TaxCatchAll xmlns="02586926-355f-4e83-b151-9d24a1c704ad" xsi:nil="true"/>
    <TaxKeywordTaxHTField xmlns="02586926-355f-4e83-b151-9d24a1c704ad">
      <Terms xmlns="http://schemas.microsoft.com/office/infopath/2007/PartnerControls"/>
    </TaxKeywordTaxHTField>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D9C8736-5504-41B5-9371-FD428E4C72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586926-355f-4e83-b151-9d24a1c704ad"/>
    <ds:schemaRef ds:uri="f2c924e2-7fc1-4d70-a6e5-114da4462c16"/>
    <ds:schemaRef ds:uri="fa73f158-c24c-498f-ba81-012acab6e5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E017079-16A0-4963-9B2B-B0C81DFB0E53}">
  <ds:schemaRefs>
    <ds:schemaRef ds:uri="http://www.imanage.com/work/xmlschema"/>
  </ds:schemaRefs>
</ds:datastoreItem>
</file>

<file path=customXml/itemProps3.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4.xml><?xml version="1.0" encoding="utf-8"?>
<ds:datastoreItem xmlns:ds="http://schemas.openxmlformats.org/officeDocument/2006/customXml" ds:itemID="{92779C6D-45D4-4063-A486-C0157BEC9F2A}">
  <ds:schemaRefs>
    <ds:schemaRef ds:uri="http://schemas.microsoft.com/office/2006/metadata/properties"/>
    <ds:schemaRef ds:uri="http://schemas.microsoft.com/office/infopath/2007/PartnerControls"/>
    <ds:schemaRef ds:uri="fa73f158-c24c-498f-ba81-012acab6e511"/>
    <ds:schemaRef ds:uri="02586926-355f-4e83-b151-9d24a1c704ad"/>
  </ds:schemaRefs>
</ds:datastoreItem>
</file>

<file path=customXml/itemProps5.xml><?xml version="1.0" encoding="utf-8"?>
<ds:datastoreItem xmlns:ds="http://schemas.openxmlformats.org/officeDocument/2006/customXml" ds:itemID="{0527E9EA-1F70-439D-B8CA-3FA70794A54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1831</Words>
  <Characters>10220</Characters>
  <Application>Microsoft Office Word</Application>
  <DocSecurity>0</DocSecurity>
  <Lines>378</Lines>
  <Paragraphs>154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11897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Morris</dc:creator>
  <cp:keywords/>
  <dc:description>generated by python-docx</dc:description>
  <cp:lastModifiedBy>Chris Morris</cp:lastModifiedBy>
  <cp:revision>5</cp:revision>
  <dcterms:created xsi:type="dcterms:W3CDTF">2026-07-21T13:56:00Z</dcterms:created>
  <dcterms:modified xsi:type="dcterms:W3CDTF">2026-07-21T14:40:00Z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c46059d-6ca0-4a6f-9275-8a418ca91520_Enabled">
    <vt:lpwstr>true</vt:lpwstr>
  </property>
  <property fmtid="{D5CDD505-2E9C-101B-9397-08002B2CF9AE}" pid="3" name="MSIP_Label_ac46059d-6ca0-4a6f-9275-8a418ca91520_SetDate">
    <vt:lpwstr>2026-06-10T11:39:26Z</vt:lpwstr>
  </property>
  <property fmtid="{D5CDD505-2E9C-101B-9397-08002B2CF9AE}" pid="4" name="MSIP_Label_ac46059d-6ca0-4a6f-9275-8a418ca91520_Method">
    <vt:lpwstr>Standard</vt:lpwstr>
  </property>
  <property fmtid="{D5CDD505-2E9C-101B-9397-08002B2CF9AE}" pid="5" name="MSIP_Label_ac46059d-6ca0-4a6f-9275-8a418ca91520_Name">
    <vt:lpwstr>Confidental</vt:lpwstr>
  </property>
  <property fmtid="{D5CDD505-2E9C-101B-9397-08002B2CF9AE}" pid="6" name="MSIP_Label_ac46059d-6ca0-4a6f-9275-8a418ca91520_SiteId">
    <vt:lpwstr>3c384161-3b62-4d05-9486-5295b766e36c</vt:lpwstr>
  </property>
  <property fmtid="{D5CDD505-2E9C-101B-9397-08002B2CF9AE}" pid="7" name="MSIP_Label_ac46059d-6ca0-4a6f-9275-8a418ca91520_ActionId">
    <vt:lpwstr>ebb38be3-d6cd-4015-84f5-fa6a1cdb7940</vt:lpwstr>
  </property>
  <property fmtid="{D5CDD505-2E9C-101B-9397-08002B2CF9AE}" pid="8" name="MSIP_Label_ac46059d-6ca0-4a6f-9275-8a418ca91520_ContentBits">
    <vt:lpwstr>0</vt:lpwstr>
  </property>
  <property fmtid="{D5CDD505-2E9C-101B-9397-08002B2CF9AE}" pid="9" name="ContentTypeId">
    <vt:lpwstr>0x010100A18C99BB3FB19A4AA3FDE5330858E44E</vt:lpwstr>
  </property>
  <property fmtid="{D5CDD505-2E9C-101B-9397-08002B2CF9AE}" pid="10" name="TaxKeyword">
    <vt:lpwstr/>
  </property>
  <property fmtid="{D5CDD505-2E9C-101B-9397-08002B2CF9AE}" pid="11" name="MediaServiceImageTags">
    <vt:lpwstr/>
  </property>
  <property fmtid="{D5CDD505-2E9C-101B-9397-08002B2CF9AE}" pid="12" name="iManageFooter">
    <vt:lpwstr>99062554.1</vt:lpwstr>
  </property>
</Properties>
</file>